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AE" w:rsidRPr="00BE7FAE" w:rsidRDefault="00BE7FAE" w:rsidP="00BE7FAE">
      <w:pPr>
        <w:keepNext/>
        <w:keepLines/>
        <w:spacing w:before="240" w:after="0" w:line="360" w:lineRule="auto"/>
        <w:ind w:firstLine="0"/>
        <w:jc w:val="center"/>
        <w:outlineLvl w:val="0"/>
        <w:rPr>
          <w:rFonts w:ascii="Arial" w:eastAsia="Times New Roman" w:hAnsi="Arial" w:cs="Times New Roman"/>
          <w:color w:val="000000"/>
          <w:sz w:val="36"/>
          <w:szCs w:val="32"/>
        </w:rPr>
      </w:pPr>
      <w:r w:rsidRPr="00BE7FAE">
        <w:rPr>
          <w:rFonts w:ascii="Arial" w:eastAsia="Times New Roman" w:hAnsi="Arial" w:cs="Times New Roman"/>
          <w:color w:val="000000"/>
          <w:sz w:val="36"/>
          <w:szCs w:val="32"/>
        </w:rPr>
        <w:t>Metodický pokyn</w:t>
      </w:r>
    </w:p>
    <w:p w:rsidR="00BE7FAE" w:rsidRDefault="00BE7FAE" w:rsidP="00CE51C8">
      <w:pPr>
        <w:pStyle w:val="Bezmezer"/>
      </w:pPr>
    </w:p>
    <w:tbl>
      <w:tblPr>
        <w:tblStyle w:val="Mkatabulky"/>
        <w:tblpPr w:leftFromText="141" w:rightFromText="141" w:vertAnchor="text" w:horzAnchor="margin" w:tblpXSpec="center" w:tblpY="-37"/>
        <w:tblW w:w="0" w:type="auto"/>
        <w:tblLook w:val="04A0"/>
      </w:tblPr>
      <w:tblGrid>
        <w:gridCol w:w="3647"/>
        <w:gridCol w:w="3299"/>
      </w:tblGrid>
      <w:tr w:rsidR="00BE7FAE" w:rsidRPr="00914EF1" w:rsidTr="00252B15">
        <w:tc>
          <w:tcPr>
            <w:tcW w:w="3647" w:type="dxa"/>
          </w:tcPr>
          <w:p w:rsidR="00BE7FAE" w:rsidRPr="00914EF1" w:rsidRDefault="00BE7FAE" w:rsidP="00BE7FAE">
            <w:pPr>
              <w:spacing w:before="0" w:after="0"/>
              <w:ind w:firstLine="0"/>
              <w:jc w:val="left"/>
              <w:rPr>
                <w:rFonts w:asciiTheme="minorHAnsi" w:hAnsiTheme="minorHAnsi"/>
              </w:rPr>
            </w:pPr>
            <w:r w:rsidRPr="00914EF1">
              <w:rPr>
                <w:rFonts w:asciiTheme="minorHAnsi" w:hAnsiTheme="minorHAnsi"/>
              </w:rPr>
              <w:t>Projekt</w:t>
            </w:r>
          </w:p>
        </w:tc>
        <w:tc>
          <w:tcPr>
            <w:tcW w:w="3299" w:type="dxa"/>
          </w:tcPr>
          <w:p w:rsidR="00BE7FAE" w:rsidRPr="00914EF1" w:rsidRDefault="00BE7FAE" w:rsidP="00BE7FAE">
            <w:pPr>
              <w:spacing w:before="0" w:after="0"/>
              <w:ind w:firstLine="0"/>
              <w:jc w:val="left"/>
              <w:rPr>
                <w:rFonts w:asciiTheme="minorHAnsi" w:hAnsiTheme="minorHAnsi"/>
              </w:rPr>
            </w:pPr>
            <w:r w:rsidRPr="00914EF1">
              <w:rPr>
                <w:rFonts w:asciiTheme="minorHAnsi" w:hAnsiTheme="minorHAnsi"/>
              </w:rPr>
              <w:t>CZ .1.07/1.1.36/02.0066</w:t>
            </w:r>
          </w:p>
        </w:tc>
      </w:tr>
      <w:tr w:rsidR="00BE7FAE" w:rsidRPr="00914EF1" w:rsidTr="00252B15">
        <w:tc>
          <w:tcPr>
            <w:tcW w:w="3647" w:type="dxa"/>
          </w:tcPr>
          <w:p w:rsidR="00BE7FAE" w:rsidRPr="00914EF1" w:rsidRDefault="00BE7FAE" w:rsidP="00BE7FAE">
            <w:pPr>
              <w:spacing w:before="0" w:after="0"/>
              <w:ind w:firstLine="0"/>
              <w:jc w:val="left"/>
              <w:rPr>
                <w:rFonts w:asciiTheme="minorHAnsi" w:hAnsiTheme="minorHAnsi"/>
              </w:rPr>
            </w:pPr>
            <w:r w:rsidRPr="00914EF1">
              <w:rPr>
                <w:rFonts w:asciiTheme="minorHAnsi" w:hAnsiTheme="minorHAnsi"/>
              </w:rPr>
              <w:t>Autor</w:t>
            </w:r>
          </w:p>
        </w:tc>
        <w:tc>
          <w:tcPr>
            <w:tcW w:w="3299" w:type="dxa"/>
          </w:tcPr>
          <w:p w:rsidR="00BE7FAE" w:rsidRPr="00914EF1" w:rsidRDefault="00BE7FAE" w:rsidP="00BE7FAE">
            <w:pPr>
              <w:spacing w:before="0" w:after="0"/>
              <w:ind w:firstLine="0"/>
              <w:jc w:val="left"/>
              <w:rPr>
                <w:rFonts w:asciiTheme="minorHAnsi" w:hAnsiTheme="minorHAnsi"/>
              </w:rPr>
            </w:pPr>
            <w:r>
              <w:rPr>
                <w:rFonts w:asciiTheme="minorHAnsi" w:hAnsiTheme="minorHAnsi"/>
              </w:rPr>
              <w:t>Mgr. Petra Kašpárková</w:t>
            </w:r>
          </w:p>
        </w:tc>
      </w:tr>
      <w:tr w:rsidR="00BE7FAE" w:rsidRPr="00914EF1" w:rsidTr="00252B15">
        <w:tc>
          <w:tcPr>
            <w:tcW w:w="3647" w:type="dxa"/>
          </w:tcPr>
          <w:p w:rsidR="00BE7FAE" w:rsidRPr="00914EF1" w:rsidRDefault="00BE7FAE" w:rsidP="00BE7FAE">
            <w:pPr>
              <w:spacing w:before="0" w:after="0"/>
              <w:ind w:firstLine="0"/>
              <w:jc w:val="left"/>
              <w:rPr>
                <w:rFonts w:asciiTheme="minorHAnsi" w:hAnsiTheme="minorHAnsi"/>
              </w:rPr>
            </w:pPr>
            <w:r w:rsidRPr="00914EF1">
              <w:rPr>
                <w:rFonts w:asciiTheme="minorHAnsi" w:hAnsiTheme="minorHAnsi"/>
              </w:rPr>
              <w:t>Předmět</w:t>
            </w:r>
          </w:p>
        </w:tc>
        <w:tc>
          <w:tcPr>
            <w:tcW w:w="3299" w:type="dxa"/>
          </w:tcPr>
          <w:p w:rsidR="00BE7FAE" w:rsidRPr="00914EF1" w:rsidRDefault="00BE7FAE" w:rsidP="00BE7FAE">
            <w:pPr>
              <w:spacing w:before="0" w:after="0"/>
              <w:ind w:firstLine="0"/>
              <w:jc w:val="left"/>
              <w:rPr>
                <w:rFonts w:asciiTheme="minorHAnsi" w:hAnsiTheme="minorHAnsi"/>
              </w:rPr>
            </w:pPr>
            <w:r>
              <w:rPr>
                <w:rFonts w:asciiTheme="minorHAnsi" w:hAnsiTheme="minorHAnsi"/>
              </w:rPr>
              <w:t>Chemie</w:t>
            </w:r>
          </w:p>
        </w:tc>
      </w:tr>
      <w:tr w:rsidR="00BE7FAE" w:rsidRPr="00914EF1" w:rsidTr="00252B15">
        <w:tc>
          <w:tcPr>
            <w:tcW w:w="3647" w:type="dxa"/>
          </w:tcPr>
          <w:p w:rsidR="00BE7FAE" w:rsidRPr="00914EF1" w:rsidRDefault="00BE7FAE" w:rsidP="00BE7FAE">
            <w:pPr>
              <w:spacing w:before="0" w:after="0"/>
              <w:ind w:firstLine="0"/>
              <w:jc w:val="left"/>
              <w:rPr>
                <w:rFonts w:asciiTheme="minorHAnsi" w:hAnsiTheme="minorHAnsi"/>
              </w:rPr>
            </w:pPr>
            <w:r w:rsidRPr="00914EF1">
              <w:rPr>
                <w:rFonts w:asciiTheme="minorHAnsi" w:hAnsiTheme="minorHAnsi"/>
              </w:rPr>
              <w:t>Výukový materiál téma</w:t>
            </w:r>
          </w:p>
        </w:tc>
        <w:tc>
          <w:tcPr>
            <w:tcW w:w="3299" w:type="dxa"/>
          </w:tcPr>
          <w:p w:rsidR="00BE7FAE" w:rsidRPr="00914EF1" w:rsidRDefault="003F21C2" w:rsidP="00BE7FAE">
            <w:pPr>
              <w:spacing w:before="0" w:after="0"/>
              <w:ind w:firstLine="0"/>
              <w:jc w:val="left"/>
              <w:rPr>
                <w:rFonts w:asciiTheme="minorHAnsi" w:hAnsiTheme="minorHAnsi"/>
              </w:rPr>
            </w:pPr>
            <w:r>
              <w:rPr>
                <w:rFonts w:asciiTheme="minorHAnsi" w:hAnsiTheme="minorHAnsi"/>
              </w:rPr>
              <w:t>Výpočty v chemii</w:t>
            </w:r>
          </w:p>
        </w:tc>
      </w:tr>
      <w:tr w:rsidR="00BE7FAE" w:rsidRPr="00914EF1" w:rsidTr="00252B15">
        <w:tc>
          <w:tcPr>
            <w:tcW w:w="3647" w:type="dxa"/>
          </w:tcPr>
          <w:p w:rsidR="00BE7FAE" w:rsidRPr="00914EF1" w:rsidRDefault="00BE7FAE" w:rsidP="00BE7FAE">
            <w:pPr>
              <w:spacing w:before="0" w:after="0"/>
              <w:ind w:firstLine="0"/>
              <w:jc w:val="left"/>
              <w:rPr>
                <w:rFonts w:asciiTheme="minorHAnsi" w:hAnsiTheme="minorHAnsi"/>
              </w:rPr>
            </w:pPr>
            <w:r w:rsidRPr="00914EF1">
              <w:rPr>
                <w:rFonts w:asciiTheme="minorHAnsi" w:hAnsiTheme="minorHAnsi"/>
              </w:rPr>
              <w:t>Výuková materiál soubor</w:t>
            </w:r>
          </w:p>
        </w:tc>
        <w:tc>
          <w:tcPr>
            <w:tcW w:w="3299" w:type="dxa"/>
          </w:tcPr>
          <w:p w:rsidR="00BE7FAE" w:rsidRPr="00914EF1" w:rsidRDefault="003F21C2" w:rsidP="00252B15">
            <w:pPr>
              <w:spacing w:before="0" w:after="0"/>
              <w:ind w:firstLine="0"/>
              <w:jc w:val="left"/>
              <w:rPr>
                <w:rFonts w:asciiTheme="minorHAnsi" w:hAnsiTheme="minorHAnsi"/>
              </w:rPr>
            </w:pPr>
            <w:r>
              <w:rPr>
                <w:rFonts w:asciiTheme="minorHAnsi" w:hAnsiTheme="minorHAnsi"/>
              </w:rPr>
              <w:t>25_Vypocty_Vm</w:t>
            </w:r>
          </w:p>
        </w:tc>
      </w:tr>
    </w:tbl>
    <w:p w:rsidR="00BE7FAE" w:rsidRDefault="00BE7FAE" w:rsidP="00CE51C8">
      <w:pPr>
        <w:pStyle w:val="Bezmezer"/>
      </w:pPr>
    </w:p>
    <w:p w:rsidR="00BE7FAE" w:rsidRDefault="00BE7FAE" w:rsidP="00CE51C8">
      <w:pPr>
        <w:pStyle w:val="Bezmezer"/>
      </w:pPr>
    </w:p>
    <w:p w:rsidR="00BE7FAE" w:rsidRDefault="00BE7FAE" w:rsidP="00CE51C8">
      <w:pPr>
        <w:pStyle w:val="Bezmezer"/>
      </w:pPr>
    </w:p>
    <w:p w:rsidR="00BE7FAE" w:rsidRDefault="00BE7FAE" w:rsidP="00CE51C8">
      <w:pPr>
        <w:pStyle w:val="Bezmezer"/>
      </w:pPr>
    </w:p>
    <w:p w:rsidR="00BE7FAE" w:rsidRDefault="00BE7FAE" w:rsidP="00CE51C8">
      <w:pPr>
        <w:pStyle w:val="Bezmezer"/>
      </w:pPr>
    </w:p>
    <w:p w:rsidR="00BE7FAE" w:rsidRDefault="00BE7FAE" w:rsidP="00CE51C8">
      <w:pPr>
        <w:pStyle w:val="Bezmezer"/>
      </w:pPr>
    </w:p>
    <w:p w:rsidR="00BE7FAE" w:rsidRPr="00BE7FAE" w:rsidRDefault="00BE7FAE" w:rsidP="00BE7FAE">
      <w:pPr>
        <w:spacing w:before="0" w:after="0" w:line="360" w:lineRule="auto"/>
        <w:ind w:firstLine="0"/>
        <w:rPr>
          <w:rFonts w:ascii="Arial" w:eastAsia="Calibri" w:hAnsi="Arial" w:cs="Arial"/>
          <w:sz w:val="32"/>
          <w:szCs w:val="32"/>
        </w:rPr>
      </w:pPr>
      <w:r w:rsidRPr="00BE7FAE">
        <w:rPr>
          <w:rFonts w:ascii="Arial" w:eastAsia="Calibri" w:hAnsi="Arial" w:cs="Arial"/>
          <w:sz w:val="32"/>
          <w:szCs w:val="32"/>
        </w:rPr>
        <w:t>Obsah a vymezení výukového materiálu (anotace)</w:t>
      </w:r>
    </w:p>
    <w:p w:rsidR="001C4EE7" w:rsidRDefault="001C4EE7" w:rsidP="001C4EE7">
      <w:r>
        <w:t xml:space="preserve">Soubor obsahuje </w:t>
      </w:r>
      <w:r w:rsidR="005433E8">
        <w:t>stručný popis veličiny molární objem a vypracované vzorové úkoly na výpočet objemu plynu, látkového množství plynné látky a kombinované příklady, kde je třeba nejprve ze zadané hmotnosti vypočítat látkové množství. Všechny vzorové příklady obsahují podrobný postup a řešení.</w:t>
      </w:r>
    </w:p>
    <w:p w:rsidR="00BE7FAE" w:rsidRPr="00BE7FAE" w:rsidRDefault="00BE7FAE" w:rsidP="00BE7FAE">
      <w:pPr>
        <w:keepNext/>
        <w:keepLines/>
        <w:spacing w:before="240" w:after="0" w:line="360" w:lineRule="auto"/>
        <w:ind w:firstLine="0"/>
        <w:jc w:val="left"/>
        <w:outlineLvl w:val="0"/>
        <w:rPr>
          <w:rFonts w:ascii="Arial" w:eastAsia="Times New Roman" w:hAnsi="Arial" w:cs="Times New Roman"/>
          <w:color w:val="000000"/>
          <w:sz w:val="32"/>
          <w:szCs w:val="32"/>
        </w:rPr>
      </w:pPr>
      <w:r w:rsidRPr="00BE7FAE">
        <w:rPr>
          <w:rFonts w:ascii="Arial" w:eastAsia="Times New Roman" w:hAnsi="Arial" w:cs="Times New Roman"/>
          <w:color w:val="000000"/>
          <w:sz w:val="32"/>
          <w:szCs w:val="32"/>
        </w:rPr>
        <w:t>Popis použití ve výuce (didaktická podpora)</w:t>
      </w:r>
    </w:p>
    <w:p w:rsidR="002866FC" w:rsidRDefault="00CB2EE9" w:rsidP="00014D00">
      <w:r>
        <w:t>Vzorové příklady zaměřené na výpočet molárního objemu látky jsou zvoleny tak, aby ukázaly co možná nejvíce možných variant a způsob jejich řešení. Zpočátku se jedná o příklady jednoduché, po jejich zvládnutí je možno přistoupit k řešení obtížnějších úkolů. Žáci mívají obvykle spíše problém zorientovat se v zadání než s vlastním výpočtem. Je třeba, aby si uvědomili, že molární objem pro plynné látky je za normálních podmínek vždy 22,4</w:t>
      </w:r>
      <w:r w:rsidR="00B466FB">
        <w:t> </w:t>
      </w:r>
      <w:r>
        <w:t>l/mol. Dále je třeba počítat v některých příkladech s </w:t>
      </w:r>
      <w:proofErr w:type="spellStart"/>
      <w:r>
        <w:t>Avogadrovou</w:t>
      </w:r>
      <w:proofErr w:type="spellEnd"/>
      <w:r>
        <w:t xml:space="preserve"> konstantou N</w:t>
      </w:r>
      <w:r w:rsidRPr="00CB2EE9">
        <w:rPr>
          <w:vertAlign w:val="subscript"/>
        </w:rPr>
        <w:t>A</w:t>
      </w:r>
      <w:r>
        <w:t>=6,023</w:t>
      </w:r>
      <w:r w:rsidR="00B466FB">
        <w:t> </w:t>
      </w:r>
      <w:r>
        <w:t>* 10</w:t>
      </w:r>
      <w:r w:rsidRPr="00CB2EE9">
        <w:rPr>
          <w:vertAlign w:val="superscript"/>
        </w:rPr>
        <w:t>23</w:t>
      </w:r>
      <w:r>
        <w:t>.</w:t>
      </w:r>
    </w:p>
    <w:p w:rsidR="00B466FB" w:rsidRDefault="00B466FB" w:rsidP="00014D00">
      <w:bookmarkStart w:id="0" w:name="_GoBack"/>
      <w:bookmarkEnd w:id="0"/>
    </w:p>
    <w:p w:rsidR="00BE7FAE" w:rsidRDefault="00BE7FAE" w:rsidP="00BE7FAE">
      <w:pPr>
        <w:keepNext/>
        <w:keepLines/>
        <w:spacing w:before="240" w:after="0" w:line="360" w:lineRule="auto"/>
        <w:ind w:firstLine="0"/>
        <w:jc w:val="left"/>
        <w:outlineLvl w:val="0"/>
        <w:rPr>
          <w:rFonts w:ascii="Arial" w:eastAsia="Times New Roman" w:hAnsi="Arial" w:cs="Times New Roman"/>
          <w:color w:val="000000"/>
          <w:sz w:val="32"/>
          <w:szCs w:val="32"/>
        </w:rPr>
      </w:pPr>
      <w:r w:rsidRPr="00BE7FAE">
        <w:rPr>
          <w:rFonts w:ascii="Arial" w:eastAsia="Times New Roman" w:hAnsi="Arial" w:cs="Times New Roman"/>
          <w:color w:val="000000"/>
          <w:sz w:val="32"/>
          <w:szCs w:val="32"/>
        </w:rPr>
        <w:t xml:space="preserve">Technický popis materiálu (komentář k systému Wolfram </w:t>
      </w:r>
      <w:proofErr w:type="spellStart"/>
      <w:r w:rsidRPr="00BE7FAE">
        <w:rPr>
          <w:rFonts w:ascii="Arial" w:eastAsia="Times New Roman" w:hAnsi="Arial" w:cs="Times New Roman"/>
          <w:color w:val="000000"/>
          <w:sz w:val="32"/>
          <w:szCs w:val="32"/>
        </w:rPr>
        <w:t>Mathematica</w:t>
      </w:r>
      <w:proofErr w:type="spellEnd"/>
      <w:r w:rsidRPr="00BE7FAE">
        <w:rPr>
          <w:rFonts w:ascii="Arial" w:eastAsia="Times New Roman" w:hAnsi="Arial" w:cs="Times New Roman"/>
          <w:color w:val="000000"/>
          <w:sz w:val="32"/>
          <w:szCs w:val="32"/>
        </w:rPr>
        <w:t>)</w:t>
      </w:r>
    </w:p>
    <w:p w:rsidR="00B27259" w:rsidRDefault="00B27259" w:rsidP="00B27259">
      <w:r>
        <w:t>Používáme-li při výpočtech WM je třeba postupovat podle následujících kroků:</w:t>
      </w:r>
    </w:p>
    <w:p w:rsidR="00B27259" w:rsidRPr="00717F61" w:rsidRDefault="00B27259" w:rsidP="00717F61">
      <w:pPr>
        <w:pStyle w:val="Odstavecseseznamem"/>
        <w:numPr>
          <w:ilvl w:val="0"/>
          <w:numId w:val="8"/>
        </w:numPr>
        <w:rPr>
          <w:rFonts w:eastAsiaTheme="minorEastAsia"/>
        </w:rPr>
      </w:pPr>
      <w:r>
        <w:t>vynulování proměnných</w:t>
      </w:r>
      <w:r>
        <w:tab/>
      </w:r>
      <w:r>
        <w:tab/>
      </w:r>
      <m:oMath>
        <m:r>
          <m:rPr>
            <m:sty m:val="p"/>
          </m:rPr>
          <w:rPr>
            <w:rFonts w:ascii="Cambria Math" w:eastAsiaTheme="minorEastAsia" w:hAnsi="Cambria Math"/>
          </w:rPr>
          <m:t>Clear[</m:t>
        </m:r>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V</m:t>
        </m:r>
        <m:r>
          <m:rPr>
            <m:sty m:val="p"/>
          </m:rPr>
          <w:rPr>
            <w:rFonts w:ascii="Cambria Math" w:eastAsiaTheme="minorEastAsia" w:hAnsi="Cambria Math"/>
          </w:rPr>
          <m:t>]</m:t>
        </m:r>
      </m:oMath>
    </w:p>
    <w:p w:rsidR="00B27259" w:rsidRPr="00717F61" w:rsidRDefault="00717F61" w:rsidP="00717F61">
      <w:pPr>
        <w:pStyle w:val="Odstavecseseznamem"/>
        <w:numPr>
          <w:ilvl w:val="0"/>
          <w:numId w:val="8"/>
        </w:numPr>
        <w:rPr>
          <w:rFonts w:eastAsiaTheme="minorEastAsia"/>
        </w:rPr>
      </w:pPr>
      <w:r w:rsidRPr="00717F61">
        <w:rPr>
          <w:rFonts w:eastAsiaTheme="minorEastAsia"/>
        </w:rPr>
        <w:t>definice výrazu pro výpočet</w:t>
      </w:r>
      <w:r w:rsidRPr="00717F61">
        <w:rPr>
          <w:rFonts w:eastAsiaTheme="minorEastAsia"/>
        </w:rPr>
        <w:tab/>
      </w:r>
      <w:r w:rsidRPr="00717F61">
        <w:rPr>
          <w:rFonts w:eastAsiaTheme="minorEastAsia"/>
        </w:rPr>
        <w:tab/>
      </w:r>
      <m:oMath>
        <m:r>
          <w:rPr>
            <w:rFonts w:ascii="Cambria Math" w:hAnsi="Cambria Math"/>
          </w:rPr>
          <m:t>V=</m:t>
        </m:r>
        <m:r>
          <m:rPr>
            <m:sty m:val="p"/>
          </m:rPr>
          <w:rPr>
            <w:rFonts w:ascii="Cambria Math" w:hAnsi="Cambria Math"/>
          </w:rPr>
          <m:t>Vm</m:t>
        </m:r>
        <m:r>
          <w:rPr>
            <w:rFonts w:ascii="Cambria Math" w:hAnsi="Cambria Math"/>
          </w:rPr>
          <m:t>*n</m:t>
        </m:r>
      </m:oMath>
    </w:p>
    <w:p w:rsidR="00717F61" w:rsidRPr="00717F61" w:rsidRDefault="00717F61" w:rsidP="00717F61">
      <w:pPr>
        <w:pStyle w:val="Odstavecseseznamem"/>
        <w:numPr>
          <w:ilvl w:val="0"/>
          <w:numId w:val="8"/>
        </w:numPr>
        <w:rPr>
          <w:rFonts w:eastAsiaTheme="minorEastAsia"/>
        </w:rPr>
      </w:pPr>
      <w:r w:rsidRPr="00717F61">
        <w:rPr>
          <w:rFonts w:eastAsiaTheme="minorEastAsia"/>
        </w:rPr>
        <w:t>nastavení proměnných</w:t>
      </w:r>
      <w:r w:rsidRPr="00717F61">
        <w:rPr>
          <w:rFonts w:eastAsiaTheme="minorEastAsia"/>
        </w:rPr>
        <w:tab/>
      </w:r>
      <w:r w:rsidRPr="00717F61">
        <w:rPr>
          <w:rFonts w:eastAsiaTheme="minorEastAsia"/>
        </w:rPr>
        <w:tab/>
      </w:r>
      <w:r w:rsidRPr="00717F61">
        <w:rPr>
          <w:rFonts w:eastAsiaTheme="minorEastAsia"/>
        </w:rPr>
        <w:tab/>
      </w:r>
      <m:oMath>
        <m:r>
          <m:rPr>
            <m:sty m:val="p"/>
          </m:rPr>
          <w:rPr>
            <w:rFonts w:ascii="Cambria Math" w:hAnsi="Cambria Math"/>
          </w:rPr>
          <m:t>Vm</m:t>
        </m:r>
        <m:r>
          <w:rPr>
            <w:rFonts w:ascii="Cambria Math" w:hAnsi="Cambria Math"/>
          </w:rPr>
          <m:t>=22.4;n=0.25;V</m:t>
        </m:r>
      </m:oMath>
    </w:p>
    <w:p w:rsidR="00717F61" w:rsidRDefault="00717F61" w:rsidP="00B27259">
      <w:r>
        <w:t>Výpočet může být proveden také v několika krocích, viz Obr. 1 nebo pomocí dos</w:t>
      </w:r>
      <w:r w:rsidR="00772E39">
        <w:t>azovacího operátoru, viz Obr. 2.</w:t>
      </w:r>
    </w:p>
    <w:p w:rsidR="00717F61" w:rsidRDefault="00717F61" w:rsidP="00B27259"/>
    <w:p w:rsidR="00717F61" w:rsidRDefault="00717F61" w:rsidP="00B27259"/>
    <w:p w:rsidR="00717F61" w:rsidRDefault="00717F61" w:rsidP="00B27259"/>
    <w:p w:rsidR="00717F61" w:rsidRDefault="00717F61" w:rsidP="00B27259"/>
    <w:p w:rsidR="00717F61" w:rsidRDefault="00717F61" w:rsidP="00717F61">
      <w:pPr>
        <w:jc w:val="center"/>
      </w:pPr>
      <w:r w:rsidRPr="00717F61">
        <w:drawing>
          <wp:inline distT="0" distB="0" distL="0" distR="0">
            <wp:extent cx="3686258" cy="1922417"/>
            <wp:effectExtent l="19050" t="19050" r="28492" b="20683"/>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85728" cy="1922141"/>
                    </a:xfrm>
                    <a:prstGeom prst="rect">
                      <a:avLst/>
                    </a:prstGeom>
                    <a:noFill/>
                    <a:ln w="9525">
                      <a:solidFill>
                        <a:schemeClr val="tx1"/>
                      </a:solidFill>
                      <a:miter lim="800000"/>
                      <a:headEnd/>
                      <a:tailEnd/>
                    </a:ln>
                  </pic:spPr>
                </pic:pic>
              </a:graphicData>
            </a:graphic>
          </wp:inline>
        </w:drawing>
      </w:r>
    </w:p>
    <w:p w:rsidR="00717F61" w:rsidRDefault="00717F61" w:rsidP="00717F61">
      <w:pPr>
        <w:pStyle w:val="Titulek"/>
        <w:jc w:val="center"/>
        <w:rPr>
          <w:color w:val="000000" w:themeColor="text1"/>
        </w:rPr>
      </w:pPr>
      <w:r w:rsidRPr="00717F61">
        <w:rPr>
          <w:color w:val="000000" w:themeColor="text1"/>
        </w:rPr>
        <w:t xml:space="preserve">Obrázek </w:t>
      </w:r>
      <w:r w:rsidRPr="00717F61">
        <w:rPr>
          <w:color w:val="000000" w:themeColor="text1"/>
        </w:rPr>
        <w:fldChar w:fldCharType="begin"/>
      </w:r>
      <w:r w:rsidRPr="00717F61">
        <w:rPr>
          <w:color w:val="000000" w:themeColor="text1"/>
        </w:rPr>
        <w:instrText xml:space="preserve"> SEQ Obrázek \* ARABIC </w:instrText>
      </w:r>
      <w:r w:rsidRPr="00717F61">
        <w:rPr>
          <w:color w:val="000000" w:themeColor="text1"/>
        </w:rPr>
        <w:fldChar w:fldCharType="separate"/>
      </w:r>
      <w:r w:rsidR="003F7EB3">
        <w:rPr>
          <w:noProof/>
          <w:color w:val="000000" w:themeColor="text1"/>
        </w:rPr>
        <w:t>1</w:t>
      </w:r>
      <w:r w:rsidRPr="00717F61">
        <w:rPr>
          <w:color w:val="000000" w:themeColor="text1"/>
        </w:rPr>
        <w:fldChar w:fldCharType="end"/>
      </w:r>
      <w:r w:rsidRPr="00717F61">
        <w:rPr>
          <w:color w:val="000000" w:themeColor="text1"/>
        </w:rPr>
        <w:t xml:space="preserve"> Postupný výpočet</w:t>
      </w:r>
    </w:p>
    <w:p w:rsidR="00717F61" w:rsidRDefault="00717F61" w:rsidP="00717F61"/>
    <w:p w:rsidR="00717F61" w:rsidRDefault="00717F61" w:rsidP="003F7EB3">
      <w:pPr>
        <w:jc w:val="center"/>
      </w:pPr>
      <w:r w:rsidRPr="00717F61">
        <w:drawing>
          <wp:inline distT="0" distB="0" distL="0" distR="0">
            <wp:extent cx="3857100" cy="1007415"/>
            <wp:effectExtent l="19050" t="19050" r="10050" b="21285"/>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865237" cy="1009540"/>
                    </a:xfrm>
                    <a:prstGeom prst="rect">
                      <a:avLst/>
                    </a:prstGeom>
                    <a:noFill/>
                    <a:ln w="9525">
                      <a:solidFill>
                        <a:schemeClr val="tx1"/>
                      </a:solidFill>
                      <a:miter lim="800000"/>
                      <a:headEnd/>
                      <a:tailEnd/>
                    </a:ln>
                  </pic:spPr>
                </pic:pic>
              </a:graphicData>
            </a:graphic>
          </wp:inline>
        </w:drawing>
      </w:r>
    </w:p>
    <w:p w:rsidR="00717F61" w:rsidRPr="003F7EB3" w:rsidRDefault="003F7EB3" w:rsidP="003F7EB3">
      <w:pPr>
        <w:pStyle w:val="Titulek"/>
        <w:jc w:val="center"/>
        <w:rPr>
          <w:color w:val="000000" w:themeColor="text1"/>
        </w:rPr>
      </w:pPr>
      <w:r w:rsidRPr="003F7EB3">
        <w:rPr>
          <w:color w:val="000000" w:themeColor="text1"/>
        </w:rPr>
        <w:t xml:space="preserve">Obrázek </w:t>
      </w:r>
      <w:r w:rsidRPr="003F7EB3">
        <w:rPr>
          <w:color w:val="000000" w:themeColor="text1"/>
        </w:rPr>
        <w:fldChar w:fldCharType="begin"/>
      </w:r>
      <w:r w:rsidRPr="003F7EB3">
        <w:rPr>
          <w:color w:val="000000" w:themeColor="text1"/>
        </w:rPr>
        <w:instrText xml:space="preserve"> SEQ Obrázek \* ARABIC </w:instrText>
      </w:r>
      <w:r w:rsidRPr="003F7EB3">
        <w:rPr>
          <w:color w:val="000000" w:themeColor="text1"/>
        </w:rPr>
        <w:fldChar w:fldCharType="separate"/>
      </w:r>
      <w:r w:rsidRPr="003F7EB3">
        <w:rPr>
          <w:color w:val="000000" w:themeColor="text1"/>
        </w:rPr>
        <w:t>2</w:t>
      </w:r>
      <w:r w:rsidRPr="003F7EB3">
        <w:rPr>
          <w:color w:val="000000" w:themeColor="text1"/>
        </w:rPr>
        <w:fldChar w:fldCharType="end"/>
      </w:r>
      <w:r>
        <w:rPr>
          <w:color w:val="000000" w:themeColor="text1"/>
        </w:rPr>
        <w:t xml:space="preserve"> Výpočet pomocí dosazovacího operátoru</w:t>
      </w:r>
    </w:p>
    <w:p w:rsidR="00BE7FAE" w:rsidRPr="00BE7FAE" w:rsidRDefault="00BE7FAE" w:rsidP="00BE7FAE">
      <w:pPr>
        <w:keepNext/>
        <w:keepLines/>
        <w:spacing w:before="240" w:after="0" w:line="360" w:lineRule="auto"/>
        <w:ind w:firstLine="0"/>
        <w:jc w:val="left"/>
        <w:outlineLvl w:val="0"/>
        <w:rPr>
          <w:rFonts w:ascii="Arial" w:eastAsia="Times New Roman" w:hAnsi="Arial" w:cs="Times New Roman"/>
          <w:color w:val="000000"/>
          <w:sz w:val="32"/>
          <w:szCs w:val="32"/>
        </w:rPr>
      </w:pPr>
      <w:r w:rsidRPr="00BE7FAE">
        <w:rPr>
          <w:rFonts w:ascii="Arial" w:eastAsia="Times New Roman" w:hAnsi="Arial" w:cs="Times New Roman"/>
          <w:color w:val="000000"/>
          <w:sz w:val="32"/>
          <w:szCs w:val="32"/>
        </w:rPr>
        <w:t>Shrnutí</w:t>
      </w:r>
    </w:p>
    <w:p w:rsidR="001C4EE7" w:rsidRDefault="003F7EB3" w:rsidP="001C4EE7">
      <w:r>
        <w:t>WM umožňuje snadno měnit zadání příkladů. Nevýhodou je zobrazování výsledků bez jednotek, žáci si je nesmí zapomenout doplnit. Poněkud jiný způsob zápisu při řešení může být zpočátku matoucí, proto by se příklady měly používat až po řádném pochopení principu výpočtů. Není dobré střídat výpočty s a bez dosazovacího operátoru. Jakmile si žáci zvyknou na určitou metodu řešení, měla by pak být u všech příkladů jednotná. Zdatnější žáci dosazovací operátor rychle pochopí, pro méně zdatné žáky je lepší příklady rozepisovat krok po kroku.</w:t>
      </w:r>
    </w:p>
    <w:sectPr w:rsidR="001C4EE7" w:rsidSect="00723F7E">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EF1" w:rsidRDefault="00914EF1" w:rsidP="00914EF1">
      <w:pPr>
        <w:spacing w:before="0" w:after="0" w:line="240" w:lineRule="auto"/>
      </w:pPr>
      <w:r>
        <w:separator/>
      </w:r>
    </w:p>
  </w:endnote>
  <w:endnote w:type="continuationSeparator" w:id="0">
    <w:p w:rsidR="00914EF1" w:rsidRDefault="00914EF1" w:rsidP="00914EF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EF1" w:rsidRDefault="00914EF1" w:rsidP="00914EF1">
      <w:pPr>
        <w:spacing w:before="0" w:after="0" w:line="240" w:lineRule="auto"/>
      </w:pPr>
      <w:r>
        <w:separator/>
      </w:r>
    </w:p>
  </w:footnote>
  <w:footnote w:type="continuationSeparator" w:id="0">
    <w:p w:rsidR="00914EF1" w:rsidRDefault="00914EF1" w:rsidP="00914EF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F1" w:rsidRDefault="00914EF1">
    <w:pPr>
      <w:pStyle w:val="Zhlav"/>
    </w:pPr>
    <w:r>
      <w:rPr>
        <w:rFonts w:ascii="Courier" w:hAnsi="Courier" w:cs="Courier"/>
        <w:noProof/>
        <w:lang w:eastAsia="cs-CZ"/>
      </w:rPr>
      <w:drawing>
        <wp:inline distT="0" distB="0" distL="0" distR="0">
          <wp:extent cx="4286992" cy="940163"/>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8797" cy="9405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106"/>
    <w:multiLevelType w:val="hybridMultilevel"/>
    <w:tmpl w:val="A46AE62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075B50E6"/>
    <w:multiLevelType w:val="hybridMultilevel"/>
    <w:tmpl w:val="90605E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10D32D4D"/>
    <w:multiLevelType w:val="hybridMultilevel"/>
    <w:tmpl w:val="6396F134"/>
    <w:lvl w:ilvl="0" w:tplc="3424B94E">
      <w:start w:val="1"/>
      <w:numFmt w:val="decimal"/>
      <w:lvlText w:val="%1."/>
      <w:lvlJc w:val="left"/>
      <w:pPr>
        <w:ind w:left="1422" w:hanging="85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2ECE5850"/>
    <w:multiLevelType w:val="hybridMultilevel"/>
    <w:tmpl w:val="916075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50A74AB4"/>
    <w:multiLevelType w:val="hybridMultilevel"/>
    <w:tmpl w:val="42EE078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52ED250D"/>
    <w:multiLevelType w:val="hybridMultilevel"/>
    <w:tmpl w:val="46D48BB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62620410"/>
    <w:multiLevelType w:val="hybridMultilevel"/>
    <w:tmpl w:val="0D304D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69540D83"/>
    <w:multiLevelType w:val="hybridMultilevel"/>
    <w:tmpl w:val="33802F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25689"/>
    <w:rsid w:val="00014D00"/>
    <w:rsid w:val="00072645"/>
    <w:rsid w:val="00095539"/>
    <w:rsid w:val="000D03AB"/>
    <w:rsid w:val="000E20F8"/>
    <w:rsid w:val="001327D2"/>
    <w:rsid w:val="001673A5"/>
    <w:rsid w:val="001721EF"/>
    <w:rsid w:val="00190732"/>
    <w:rsid w:val="001C4EE7"/>
    <w:rsid w:val="00252B15"/>
    <w:rsid w:val="00264089"/>
    <w:rsid w:val="0028503F"/>
    <w:rsid w:val="002866FC"/>
    <w:rsid w:val="00313975"/>
    <w:rsid w:val="003E5478"/>
    <w:rsid w:val="003F21C2"/>
    <w:rsid w:val="003F6056"/>
    <w:rsid w:val="003F7EB3"/>
    <w:rsid w:val="00425689"/>
    <w:rsid w:val="004414A8"/>
    <w:rsid w:val="00472F9D"/>
    <w:rsid w:val="004E480E"/>
    <w:rsid w:val="004E4D71"/>
    <w:rsid w:val="00503C5D"/>
    <w:rsid w:val="005127D8"/>
    <w:rsid w:val="005433E8"/>
    <w:rsid w:val="00547C0E"/>
    <w:rsid w:val="00570762"/>
    <w:rsid w:val="005A06CD"/>
    <w:rsid w:val="00671B16"/>
    <w:rsid w:val="006A6BCF"/>
    <w:rsid w:val="006D0682"/>
    <w:rsid w:val="00707D11"/>
    <w:rsid w:val="00717F61"/>
    <w:rsid w:val="00723F7E"/>
    <w:rsid w:val="0076751D"/>
    <w:rsid w:val="00772E39"/>
    <w:rsid w:val="007E263E"/>
    <w:rsid w:val="00807BAA"/>
    <w:rsid w:val="008213AB"/>
    <w:rsid w:val="008A6C0E"/>
    <w:rsid w:val="008C4687"/>
    <w:rsid w:val="008E72AF"/>
    <w:rsid w:val="008F5D8B"/>
    <w:rsid w:val="00906E4B"/>
    <w:rsid w:val="00914EF1"/>
    <w:rsid w:val="00927991"/>
    <w:rsid w:val="00927AF3"/>
    <w:rsid w:val="009B1F3F"/>
    <w:rsid w:val="009E235F"/>
    <w:rsid w:val="009E447C"/>
    <w:rsid w:val="00A56929"/>
    <w:rsid w:val="00A822DE"/>
    <w:rsid w:val="00B12479"/>
    <w:rsid w:val="00B2104A"/>
    <w:rsid w:val="00B27259"/>
    <w:rsid w:val="00B34098"/>
    <w:rsid w:val="00B466FB"/>
    <w:rsid w:val="00BA79EF"/>
    <w:rsid w:val="00BE7FAE"/>
    <w:rsid w:val="00C74BB3"/>
    <w:rsid w:val="00C9350A"/>
    <w:rsid w:val="00CB2EE9"/>
    <w:rsid w:val="00CC5820"/>
    <w:rsid w:val="00CD49F0"/>
    <w:rsid w:val="00CE51C8"/>
    <w:rsid w:val="00D223A6"/>
    <w:rsid w:val="00D52FF7"/>
    <w:rsid w:val="00DC3BDA"/>
    <w:rsid w:val="00DD718B"/>
    <w:rsid w:val="00DE1E2B"/>
    <w:rsid w:val="00E23A7B"/>
    <w:rsid w:val="00E30546"/>
    <w:rsid w:val="00E35CC0"/>
    <w:rsid w:val="00E4609A"/>
    <w:rsid w:val="00E721A0"/>
    <w:rsid w:val="00FA7684"/>
    <w:rsid w:val="00FC69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06CD"/>
    <w:pPr>
      <w:spacing w:before="120" w:after="120"/>
      <w:ind w:firstLine="567"/>
      <w:jc w:val="both"/>
    </w:pPr>
    <w:rPr>
      <w:rFonts w:ascii="Times New Roman" w:hAnsi="Times New Roman"/>
      <w:sz w:val="24"/>
    </w:rPr>
  </w:style>
  <w:style w:type="paragraph" w:styleId="Nadpis1">
    <w:name w:val="heading 1"/>
    <w:basedOn w:val="Normln"/>
    <w:next w:val="Normln"/>
    <w:link w:val="Nadpis1Char"/>
    <w:uiPriority w:val="9"/>
    <w:qFormat/>
    <w:rsid w:val="00CE51C8"/>
    <w:pPr>
      <w:keepNext/>
      <w:keepLines/>
      <w:spacing w:before="360"/>
      <w:outlineLvl w:val="0"/>
    </w:pPr>
    <w:rPr>
      <w:rFonts w:ascii="Arial" w:eastAsiaTheme="majorEastAsia" w:hAnsi="Arial" w:cstheme="majorBidi"/>
      <w:bCs/>
      <w:sz w:val="3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51C8"/>
    <w:rPr>
      <w:rFonts w:ascii="Arial" w:eastAsiaTheme="majorEastAsia" w:hAnsi="Arial" w:cstheme="majorBidi"/>
      <w:bCs/>
      <w:sz w:val="32"/>
      <w:szCs w:val="28"/>
    </w:rPr>
  </w:style>
  <w:style w:type="paragraph" w:styleId="Bezmezer">
    <w:name w:val="No Spacing"/>
    <w:uiPriority w:val="1"/>
    <w:qFormat/>
    <w:rsid w:val="00DC3BDA"/>
    <w:pPr>
      <w:spacing w:after="0" w:line="240" w:lineRule="auto"/>
      <w:jc w:val="both"/>
    </w:pPr>
    <w:rPr>
      <w:rFonts w:ascii="Times New Roman" w:hAnsi="Times New Roman"/>
      <w:sz w:val="24"/>
    </w:rPr>
  </w:style>
  <w:style w:type="character" w:customStyle="1" w:styleId="MathematicaFormatTextForm">
    <w:name w:val="MathematicaFormatTextForm"/>
    <w:uiPriority w:val="99"/>
    <w:rsid w:val="00CE51C8"/>
  </w:style>
  <w:style w:type="paragraph" w:styleId="Odstavecseseznamem">
    <w:name w:val="List Paragraph"/>
    <w:basedOn w:val="Normln"/>
    <w:uiPriority w:val="34"/>
    <w:qFormat/>
    <w:rsid w:val="004E4D71"/>
    <w:pPr>
      <w:ind w:left="720"/>
      <w:contextualSpacing/>
    </w:pPr>
  </w:style>
  <w:style w:type="character" w:styleId="Siln">
    <w:name w:val="Strong"/>
    <w:basedOn w:val="Standardnpsmoodstavce"/>
    <w:uiPriority w:val="22"/>
    <w:qFormat/>
    <w:rsid w:val="00E30546"/>
    <w:rPr>
      <w:b/>
      <w:bCs/>
    </w:rPr>
  </w:style>
  <w:style w:type="character" w:styleId="Hypertextovodkaz">
    <w:name w:val="Hyperlink"/>
    <w:basedOn w:val="Standardnpsmoodstavce"/>
    <w:uiPriority w:val="99"/>
    <w:semiHidden/>
    <w:unhideWhenUsed/>
    <w:rsid w:val="00E30546"/>
    <w:rPr>
      <w:color w:val="0000FF"/>
      <w:u w:val="single"/>
    </w:rPr>
  </w:style>
  <w:style w:type="paragraph" w:customStyle="1" w:styleId="MathematicaCellText">
    <w:name w:val="MathematicaCellText"/>
    <w:rsid w:val="000E20F8"/>
    <w:pPr>
      <w:autoSpaceDE w:val="0"/>
      <w:autoSpaceDN w:val="0"/>
      <w:adjustRightInd w:val="0"/>
      <w:spacing w:after="0" w:line="240" w:lineRule="auto"/>
    </w:pPr>
    <w:rPr>
      <w:rFonts w:ascii="Times" w:hAnsi="Times" w:cs="Times"/>
      <w:sz w:val="24"/>
      <w:szCs w:val="24"/>
    </w:rPr>
  </w:style>
  <w:style w:type="paragraph" w:styleId="Textbubliny">
    <w:name w:val="Balloon Text"/>
    <w:basedOn w:val="Normln"/>
    <w:link w:val="TextbublinyChar"/>
    <w:uiPriority w:val="99"/>
    <w:semiHidden/>
    <w:unhideWhenUsed/>
    <w:rsid w:val="004E480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480E"/>
    <w:rPr>
      <w:rFonts w:ascii="Tahoma" w:hAnsi="Tahoma" w:cs="Tahoma"/>
      <w:sz w:val="16"/>
      <w:szCs w:val="16"/>
    </w:rPr>
  </w:style>
  <w:style w:type="paragraph" w:styleId="Zhlav">
    <w:name w:val="header"/>
    <w:basedOn w:val="Normln"/>
    <w:link w:val="ZhlavChar"/>
    <w:uiPriority w:val="99"/>
    <w:unhideWhenUsed/>
    <w:rsid w:val="00914EF1"/>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914EF1"/>
    <w:rPr>
      <w:rFonts w:ascii="Times New Roman" w:hAnsi="Times New Roman"/>
      <w:sz w:val="24"/>
    </w:rPr>
  </w:style>
  <w:style w:type="paragraph" w:styleId="Zpat">
    <w:name w:val="footer"/>
    <w:basedOn w:val="Normln"/>
    <w:link w:val="ZpatChar"/>
    <w:uiPriority w:val="99"/>
    <w:unhideWhenUsed/>
    <w:rsid w:val="00914EF1"/>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914EF1"/>
    <w:rPr>
      <w:rFonts w:ascii="Times New Roman" w:hAnsi="Times New Roman"/>
      <w:sz w:val="24"/>
    </w:rPr>
  </w:style>
  <w:style w:type="table" w:styleId="Mkatabulky">
    <w:name w:val="Table Grid"/>
    <w:basedOn w:val="Normlntabulka"/>
    <w:uiPriority w:val="59"/>
    <w:rsid w:val="00914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2866FC"/>
    <w:pPr>
      <w:spacing w:before="0" w:after="200" w:line="240" w:lineRule="auto"/>
    </w:pPr>
    <w:rPr>
      <w:b/>
      <w:bCs/>
      <w:color w:val="4F81BD" w:themeColor="accent1"/>
      <w:sz w:val="18"/>
      <w:szCs w:val="18"/>
    </w:rPr>
  </w:style>
  <w:style w:type="character" w:styleId="Zstupntext">
    <w:name w:val="Placeholder Text"/>
    <w:basedOn w:val="Standardnpsmoodstavce"/>
    <w:uiPriority w:val="99"/>
    <w:semiHidden/>
    <w:rsid w:val="00313975"/>
    <w:rPr>
      <w:color w:val="808080"/>
    </w:rPr>
  </w:style>
</w:styles>
</file>

<file path=word/webSettings.xml><?xml version="1.0" encoding="utf-8"?>
<w:webSettings xmlns:r="http://schemas.openxmlformats.org/officeDocument/2006/relationships" xmlns:w="http://schemas.openxmlformats.org/wordprocessingml/2006/main">
  <w:divs>
    <w:div w:id="90857495">
      <w:bodyDiv w:val="1"/>
      <w:marLeft w:val="0"/>
      <w:marRight w:val="0"/>
      <w:marTop w:val="0"/>
      <w:marBottom w:val="0"/>
      <w:divBdr>
        <w:top w:val="none" w:sz="0" w:space="0" w:color="auto"/>
        <w:left w:val="none" w:sz="0" w:space="0" w:color="auto"/>
        <w:bottom w:val="none" w:sz="0" w:space="0" w:color="auto"/>
        <w:right w:val="none" w:sz="0" w:space="0" w:color="auto"/>
      </w:divBdr>
    </w:div>
    <w:div w:id="849611459">
      <w:bodyDiv w:val="1"/>
      <w:marLeft w:val="0"/>
      <w:marRight w:val="0"/>
      <w:marTop w:val="0"/>
      <w:marBottom w:val="0"/>
      <w:divBdr>
        <w:top w:val="none" w:sz="0" w:space="0" w:color="auto"/>
        <w:left w:val="none" w:sz="0" w:space="0" w:color="auto"/>
        <w:bottom w:val="none" w:sz="0" w:space="0" w:color="auto"/>
        <w:right w:val="none" w:sz="0" w:space="0" w:color="auto"/>
      </w:divBdr>
      <w:divsChild>
        <w:div w:id="115260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9F548-9ED9-4DA7-92E6-0680AA75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311</Words>
  <Characters>1835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cp:lastModifiedBy>
  <cp:revision>8</cp:revision>
  <dcterms:created xsi:type="dcterms:W3CDTF">2014-09-08T12:36:00Z</dcterms:created>
  <dcterms:modified xsi:type="dcterms:W3CDTF">2014-09-11T19:52:00Z</dcterms:modified>
</cp:coreProperties>
</file>