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475E49" w:rsidRPr="00475E49" w:rsidRDefault="00475E49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DE1201" w:rsidP="00DE1201">
            <w:r>
              <w:t xml:space="preserve">Vlastnosti el. </w:t>
            </w:r>
            <w:proofErr w:type="gramStart"/>
            <w:r>
              <w:t>zdrojů</w:t>
            </w:r>
            <w:proofErr w:type="gramEnd"/>
            <w:r>
              <w:t xml:space="preserve"> </w:t>
            </w:r>
          </w:p>
        </w:tc>
      </w:tr>
      <w:tr w:rsidR="00DD5D98" w:rsidTr="00DD5D98">
        <w:tc>
          <w:tcPr>
            <w:tcW w:w="3647" w:type="dxa"/>
          </w:tcPr>
          <w:p w:rsidR="00DD5D98" w:rsidRDefault="00DE1201" w:rsidP="00DD5D98">
            <w:r>
              <w:t>Výukový</w:t>
            </w:r>
            <w:r w:rsidR="00DD5D98">
              <w:t xml:space="preserve"> materiál soubor</w:t>
            </w:r>
          </w:p>
        </w:tc>
        <w:tc>
          <w:tcPr>
            <w:tcW w:w="3299" w:type="dxa"/>
          </w:tcPr>
          <w:p w:rsidR="00DD5D98" w:rsidRDefault="00DE1201" w:rsidP="00897323">
            <w:r>
              <w:t xml:space="preserve">Zdroj </w:t>
            </w:r>
            <w:proofErr w:type="spellStart"/>
            <w:r>
              <w:t>na</w:t>
            </w:r>
            <w:r w:rsidR="00F32E9F">
              <w:t>peti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>Tento materiál je určen pro p</w:t>
      </w:r>
      <w:r w:rsidR="000A71C1">
        <w:t>ředmět Základy elektrotechniky 1</w:t>
      </w:r>
      <w:r>
        <w:t>. roč. (resp. Elektronika</w:t>
      </w:r>
      <w:r w:rsidR="000A71C1">
        <w:t xml:space="preserve"> 2. roč.</w:t>
      </w:r>
      <w:r>
        <w:t xml:space="preserve">). Probíraná látka je </w:t>
      </w:r>
      <w:r w:rsidR="00014795">
        <w:t>„</w:t>
      </w:r>
      <w:r w:rsidR="00F32E9F">
        <w:t>Vlastnosti elektrických zdrojů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</w:t>
      </w:r>
      <w:r w:rsidR="000A71C1">
        <w:t xml:space="preserve">součástí kapitoly </w:t>
      </w:r>
      <w:r w:rsidR="00F32E9F">
        <w:t>„</w:t>
      </w:r>
      <w:r w:rsidR="006C328E">
        <w:t>Řešení elektrických obvodů</w:t>
      </w:r>
      <w:r w:rsidR="00F32E9F">
        <w:t>“</w:t>
      </w:r>
      <w:r w:rsidR="000A71C1">
        <w:t>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</w:t>
      </w:r>
      <w:r w:rsidR="00D37D48">
        <w:t xml:space="preserve">představu </w:t>
      </w:r>
      <w:r w:rsidR="006C328E">
        <w:t xml:space="preserve">o tom, co je lineární el. </w:t>
      </w:r>
      <w:proofErr w:type="gramStart"/>
      <w:r w:rsidR="006C328E">
        <w:t>obvod</w:t>
      </w:r>
      <w:proofErr w:type="gramEnd"/>
      <w:r w:rsidR="006C328E">
        <w:t>, základní prvky el. obvodu.</w:t>
      </w:r>
      <w:r w:rsidR="00D37D48">
        <w:t xml:space="preserve"> </w:t>
      </w:r>
      <w:r w:rsidR="006C328E">
        <w:t xml:space="preserve">Důležitým prvkem obvodu je el. </w:t>
      </w:r>
      <w:proofErr w:type="gramStart"/>
      <w:r w:rsidR="006C328E">
        <w:t>zdroj</w:t>
      </w:r>
      <w:proofErr w:type="gramEnd"/>
      <w:r w:rsidR="00305207">
        <w:t xml:space="preserve">. </w:t>
      </w:r>
      <w:r w:rsidR="00E246CF">
        <w:t xml:space="preserve">V první </w:t>
      </w:r>
      <w:proofErr w:type="gramStart"/>
      <w:r w:rsidR="00E246CF">
        <w:t xml:space="preserve">části </w:t>
      </w:r>
      <w:r w:rsidR="00D37D48">
        <w:t xml:space="preserve"> </w:t>
      </w:r>
      <w:r w:rsidR="00E246CF">
        <w:t>souboru</w:t>
      </w:r>
      <w:proofErr w:type="gramEnd"/>
      <w:r w:rsidR="00E246CF">
        <w:t xml:space="preserve"> je teoretický rozbor</w:t>
      </w:r>
      <w:r w:rsidR="00305207">
        <w:t xml:space="preserve"> vlastností a stavů skutečného zdroje napětí.</w:t>
      </w:r>
      <w:r w:rsidR="00E246CF">
        <w:t xml:space="preserve"> Následuje </w:t>
      </w:r>
      <w:r w:rsidR="00305207">
        <w:t xml:space="preserve">konkrétní příklad skutečného zdroje napětí, zobrazení zatěžovací charakteristiky a vliv </w:t>
      </w:r>
      <w:r w:rsidR="005720E8">
        <w:t>vnitřního</w:t>
      </w:r>
      <w:r w:rsidR="00305207">
        <w:t xml:space="preserve"> odporu na vlastnosti zdroje.</w:t>
      </w:r>
      <w:r w:rsidR="005720E8">
        <w:t xml:space="preserve"> Dále je vysvětlen stav výkonového přizpůsobení zdroje a zátěže. </w:t>
      </w:r>
      <w:r w:rsidR="00E246CF">
        <w:t>Tato část</w:t>
      </w:r>
      <w:r w:rsidR="00D37D48">
        <w:t xml:space="preserve"> </w:t>
      </w:r>
      <w:r w:rsidR="00F3299C">
        <w:t>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</w:t>
      </w:r>
      <w:r w:rsidR="00305207">
        <w:t xml:space="preserve">o chování a </w:t>
      </w:r>
      <w:r w:rsidR="00882377">
        <w:t xml:space="preserve">vlastnostech zdroje napětí </w:t>
      </w:r>
      <w:r w:rsidR="007474D7">
        <w:t>s </w:t>
      </w:r>
      <w:r w:rsidR="0035342C">
        <w:t>využitím</w:t>
      </w:r>
      <w:r w:rsidR="007474D7">
        <w:t xml:space="preserve"> programu Wolfram </w:t>
      </w:r>
      <w:proofErr w:type="spellStart"/>
      <w:r w:rsidR="007474D7">
        <w:t>Mathematica</w:t>
      </w:r>
      <w:proofErr w:type="spellEnd"/>
      <w:r w:rsidR="005B7060">
        <w:t xml:space="preserve">. </w:t>
      </w:r>
      <w:r w:rsidR="00014795">
        <w:t xml:space="preserve">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E12C69" w:rsidRPr="00E12C69" w:rsidRDefault="00A6361E" w:rsidP="00A6361E">
      <w:pPr>
        <w:rPr>
          <w:rFonts w:eastAsiaTheme="minorEastAsia"/>
        </w:rPr>
      </w:pPr>
      <w:r>
        <w:t>V tomto souboru byly využity příkazy</w:t>
      </w:r>
      <w:r w:rsidR="005E0725">
        <w:t xml:space="preserve"> </w:t>
      </w:r>
      <m:oMath>
        <m:r>
          <m:rPr>
            <m:sty m:val="p"/>
          </m:rPr>
          <w:rPr>
            <w:rFonts w:ascii="Cambria Math" w:hAnsi="Cambria Math"/>
          </w:rPr>
          <m:t>Plot, Table, PlotRange, AxesLabel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</w:t>
      </w:r>
      <w:r w:rsidR="009A1966">
        <w:rPr>
          <w:rFonts w:eastAsiaTheme="minorEastAsia"/>
        </w:rPr>
        <w:t xml:space="preserve">rovnice zdroje </w:t>
      </w:r>
      <m:oMath>
        <m:r>
          <w:rPr>
            <w:rFonts w:ascii="Cambria Math" w:eastAsiaTheme="minorEastAsia" w:hAnsi="Cambria Math"/>
          </w:rPr>
          <m:t>U[</m:t>
        </m:r>
        <m:r>
          <m:rPr>
            <m:sty m:val="p"/>
          </m:rPr>
          <w:rPr>
            <w:rFonts w:ascii="Cambria Math" w:eastAsiaTheme="minorEastAsia" w:hAnsi="Cambria Math"/>
          </w:rPr>
          <m:t>i_</m:t>
        </m:r>
        <m:r>
          <w:rPr>
            <w:rFonts w:ascii="Cambria Math" w:eastAsiaTheme="minorEastAsia" w:hAnsi="Cambria Math"/>
          </w:rPr>
          <m:t>]=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iv</m:t>
            </m:r>
          </m:sub>
        </m:sSub>
        <m:r>
          <w:rPr>
            <w:rFonts w:ascii="Cambria Math" w:eastAsiaTheme="minorEastAsia" w:hAnsi="Cambria Math"/>
          </w:rPr>
          <m:t>*i</m:t>
        </m:r>
      </m:oMath>
      <w:r w:rsidR="005E0725">
        <w:rPr>
          <w:rFonts w:eastAsiaTheme="minorEastAsia"/>
        </w:rPr>
        <w:t>.</w:t>
      </w:r>
      <w:r w:rsidR="005E0725" w:rsidRPr="005E0725">
        <w:rPr>
          <w:rFonts w:eastAsiaTheme="minorEastAsia"/>
        </w:rPr>
        <w:t xml:space="preserve"> </w:t>
      </w:r>
      <w:r w:rsidR="009A1966">
        <w:rPr>
          <w:rFonts w:eastAsiaTheme="minorEastAsia"/>
        </w:rPr>
        <w:t xml:space="preserve">Dále je využita funkce na kreslení grafu </w:t>
      </w:r>
      <m:oMath>
        <m:r>
          <m:rPr>
            <m:sty m:val="p"/>
          </m:rPr>
          <w:rPr>
            <w:rFonts w:ascii="Cambria Math" w:eastAsiaTheme="minorEastAsia" w:hAnsi="Cambria Math"/>
          </w:rPr>
          <m:t>Plot</m:t>
        </m:r>
        <m:r>
          <w:rPr>
            <w:rFonts w:ascii="Cambria Math" w:eastAsiaTheme="minorEastAsia" w:hAnsi="Cambria Math"/>
          </w:rPr>
          <m:t>[U[i],{i,0,4},</m:t>
        </m:r>
        <m:r>
          <m:rPr>
            <m:sty m:val="p"/>
          </m:rPr>
          <w:rPr>
            <w:rFonts w:ascii="Cambria Math" w:eastAsiaTheme="minorEastAsia" w:hAnsi="Cambria Math"/>
          </w:rPr>
          <m:t>PlotRange</m:t>
        </m:r>
        <m:r>
          <w:rPr>
            <w:rFonts w:ascii="Cambria Math" w:eastAsiaTheme="minorEastAsia" w:hAnsi="Cambria Math"/>
          </w:rPr>
          <m:t>→{0,20},</m:t>
        </m:r>
        <m:r>
          <m:rPr>
            <m:sty m:val="p"/>
          </m:rPr>
          <w:rPr>
            <w:rFonts w:ascii="Cambria Math" w:eastAsiaTheme="minorEastAsia" w:hAnsi="Cambria Math"/>
          </w:rPr>
          <m:t>AxesLabel</m:t>
        </m:r>
        <m:r>
          <w:rPr>
            <w:rFonts w:ascii="Cambria Math" w:eastAsiaTheme="minorEastAsia" w:hAnsi="Cambria Math"/>
          </w:rPr>
          <m:t>→{</m:t>
        </m:r>
        <m:r>
          <m:rPr>
            <m:sty m:val="p"/>
          </m:rPr>
          <w:rPr>
            <w:rFonts w:ascii="Cambria Math" w:eastAsiaTheme="minorEastAsia" w:hAnsi="Cambria Math"/>
          </w:rPr>
          <m:t>"I[A]"</m:t>
        </m:r>
        <m:r>
          <w:rPr>
            <w:rFonts w:ascii="Cambria Math" w:eastAsiaTheme="minorEastAsia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>"U[V]"</m:t>
        </m:r>
        <m:r>
          <w:rPr>
            <w:rFonts w:ascii="Cambria Math" w:eastAsiaTheme="minorEastAsia" w:hAnsi="Cambria Math"/>
          </w:rPr>
          <m:t>}]</m:t>
        </m:r>
      </m:oMath>
      <w:r w:rsidR="009A1966">
        <w:rPr>
          <w:rFonts w:eastAsiaTheme="minorEastAsia"/>
        </w:rPr>
        <w:t xml:space="preserve">, kde nejprve definujeme </w:t>
      </w:r>
      <w:r w:rsidR="009C5F13">
        <w:rPr>
          <w:rFonts w:eastAsiaTheme="minorEastAsia"/>
        </w:rPr>
        <w:t xml:space="preserve">rozsah proudu (0,4), rozsah napětí pomocí </w:t>
      </w:r>
      <m:oMath>
        <m:r>
          <m:rPr>
            <m:sty m:val="p"/>
          </m:rPr>
          <w:rPr>
            <w:rFonts w:ascii="Cambria Math" w:eastAsiaTheme="minorEastAsia" w:hAnsi="Cambria Math"/>
          </w:rPr>
          <m:t>PlotRange</m:t>
        </m:r>
        <m:r>
          <w:rPr>
            <w:rFonts w:ascii="Cambria Math" w:eastAsiaTheme="minorEastAsia" w:hAnsi="Cambria Math"/>
          </w:rPr>
          <m:t>→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0,20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="009C5F13">
        <w:rPr>
          <w:rFonts w:eastAsiaTheme="minorEastAsia"/>
        </w:rPr>
        <w:t xml:space="preserve"> dále popis os pomocí </w:t>
      </w:r>
      <m:oMath>
        <m:r>
          <m:rPr>
            <m:sty m:val="p"/>
          </m:rPr>
          <w:rPr>
            <w:rFonts w:ascii="Cambria Math" w:eastAsiaTheme="minorEastAsia" w:hAnsi="Cambria Math"/>
          </w:rPr>
          <m:t>AxesLabel</m:t>
        </m:r>
        <m:r>
          <w:rPr>
            <w:rFonts w:ascii="Cambria Math" w:eastAsiaTheme="minorEastAsia" w:hAnsi="Cambria Math"/>
          </w:rPr>
          <m:t>→{</m:t>
        </m:r>
        <m:r>
          <m:rPr>
            <m:sty m:val="p"/>
          </m:rPr>
          <w:rPr>
            <w:rFonts w:ascii="Cambria Math" w:eastAsiaTheme="minorEastAsia" w:hAnsi="Cambria Math"/>
          </w:rPr>
          <m:t>"I[A]"</m:t>
        </m:r>
        <m:r>
          <w:rPr>
            <w:rFonts w:ascii="Cambria Math" w:eastAsiaTheme="minorEastAsia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>"U[V]"</m:t>
        </m:r>
        <m:r>
          <w:rPr>
            <w:rFonts w:ascii="Cambria Math" w:eastAsiaTheme="minorEastAsia" w:hAnsi="Cambria Math"/>
          </w:rPr>
          <m:t>}]</m:t>
        </m:r>
      </m:oMath>
      <w:r w:rsidR="009C5F13">
        <w:rPr>
          <w:rFonts w:eastAsiaTheme="minorEastAsia"/>
        </w:rPr>
        <w:t>.</w:t>
      </w:r>
      <w:r w:rsidR="00737CB9">
        <w:rPr>
          <w:rFonts w:eastAsiaTheme="minorEastAsia"/>
        </w:rPr>
        <w:t xml:space="preserve"> V dalších částech je ještě využit seznam odporů pomocí příkazu </w:t>
      </w:r>
      <m:oMath>
        <m:r>
          <m:rPr>
            <m:sty m:val="p"/>
          </m:rPr>
          <w:rPr>
            <w:rFonts w:ascii="Cambria Math" w:hAnsi="Cambria Math"/>
          </w:rPr>
          <m:t>Table</m:t>
        </m:r>
      </m:oMath>
      <w:r w:rsidR="00737CB9">
        <w:rPr>
          <w:rFonts w:eastAsiaTheme="minorEastAsia"/>
        </w:rPr>
        <w:t xml:space="preserve">, který je následně použitý v příkazu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 w:rsidR="00737CB9">
        <w:rPr>
          <w:rFonts w:eastAsiaTheme="minorEastAsia"/>
        </w:rPr>
        <w:t xml:space="preserve"> při kreslení charakteristiky zdroje.</w:t>
      </w:r>
    </w:p>
    <w:p w:rsidR="00923225" w:rsidRPr="00EF7B67" w:rsidRDefault="005E3A75" w:rsidP="00DE66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923225" w:rsidRDefault="00C60B16" w:rsidP="00DD5D98">
      <w:r>
        <w:lastRenderedPageBreak/>
        <w:t xml:space="preserve">Při ukázkové hodině mělo pro žáky velký význam názornost a přehlednost grafického vyjádření. Další výhoda je, že si žáci mohou rychle ověřit změny parametrů obvodu a jejich vliv na výsledné charakteristiky. </w:t>
      </w:r>
      <w:r w:rsidR="001C33D2">
        <w:t>Teprve větší počet použití tohoto programu v předmětu Základy elektrotechniky a Elektronika ukáže význam a přínos pro žaky i učitele.</w:t>
      </w:r>
      <w:bookmarkStart w:id="0" w:name="_GoBack"/>
      <w:bookmarkEnd w:id="0"/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A71C1"/>
    <w:rsid w:val="000E5134"/>
    <w:rsid w:val="00193CFC"/>
    <w:rsid w:val="001C33D2"/>
    <w:rsid w:val="002F0F71"/>
    <w:rsid w:val="00305207"/>
    <w:rsid w:val="0035342C"/>
    <w:rsid w:val="00391F72"/>
    <w:rsid w:val="003D5BFB"/>
    <w:rsid w:val="003F3CEE"/>
    <w:rsid w:val="00460DD5"/>
    <w:rsid w:val="00463C86"/>
    <w:rsid w:val="00475E49"/>
    <w:rsid w:val="0047663A"/>
    <w:rsid w:val="005720E8"/>
    <w:rsid w:val="005B7060"/>
    <w:rsid w:val="005E0725"/>
    <w:rsid w:val="005E3A75"/>
    <w:rsid w:val="00650990"/>
    <w:rsid w:val="006679E0"/>
    <w:rsid w:val="0069498E"/>
    <w:rsid w:val="006C328E"/>
    <w:rsid w:val="00732ECA"/>
    <w:rsid w:val="00737CB9"/>
    <w:rsid w:val="007474D7"/>
    <w:rsid w:val="00830EA8"/>
    <w:rsid w:val="00882377"/>
    <w:rsid w:val="00897323"/>
    <w:rsid w:val="008C34EC"/>
    <w:rsid w:val="008F57E1"/>
    <w:rsid w:val="00923225"/>
    <w:rsid w:val="009259BE"/>
    <w:rsid w:val="00991ABC"/>
    <w:rsid w:val="009A1966"/>
    <w:rsid w:val="009C5F13"/>
    <w:rsid w:val="009E7799"/>
    <w:rsid w:val="00A572E5"/>
    <w:rsid w:val="00A6361E"/>
    <w:rsid w:val="00A86B65"/>
    <w:rsid w:val="00A96BA2"/>
    <w:rsid w:val="00BA3E92"/>
    <w:rsid w:val="00BE339B"/>
    <w:rsid w:val="00C60B16"/>
    <w:rsid w:val="00C72816"/>
    <w:rsid w:val="00D27AB6"/>
    <w:rsid w:val="00D37D48"/>
    <w:rsid w:val="00D80431"/>
    <w:rsid w:val="00DA63D9"/>
    <w:rsid w:val="00DD5D98"/>
    <w:rsid w:val="00DE1201"/>
    <w:rsid w:val="00DE66D8"/>
    <w:rsid w:val="00E12C69"/>
    <w:rsid w:val="00E246CF"/>
    <w:rsid w:val="00E633EA"/>
    <w:rsid w:val="00EC35B1"/>
    <w:rsid w:val="00EF7B67"/>
    <w:rsid w:val="00F00A80"/>
    <w:rsid w:val="00F3299C"/>
    <w:rsid w:val="00F32E9F"/>
    <w:rsid w:val="00F5550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A107-0BD5-4BED-8B42-AB3FB57F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10</cp:revision>
  <dcterms:created xsi:type="dcterms:W3CDTF">2014-11-20T15:18:00Z</dcterms:created>
  <dcterms:modified xsi:type="dcterms:W3CDTF">2014-12-25T17:04:00Z</dcterms:modified>
</cp:coreProperties>
</file>