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370B9" w:rsidP="00FE0AEF">
            <w:r>
              <w:t xml:space="preserve">Graf </w:t>
            </w:r>
            <w:r w:rsidR="00D32C06">
              <w:t xml:space="preserve">goniometrické </w:t>
            </w:r>
            <w:r>
              <w:t xml:space="preserve">funkce </w:t>
            </w:r>
            <w:r w:rsidR="00D32C06">
              <w:t xml:space="preserve">- </w:t>
            </w:r>
            <w:r w:rsidR="008F543D">
              <w:t>ko</w:t>
            </w:r>
            <w:r w:rsidR="00FE0AEF">
              <w:t>tangens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FE0AEF" w:rsidP="00B370B9">
      <w:r>
        <w:t>Materiál zavádí</w:t>
      </w:r>
      <w:r w:rsidR="00C52AAA">
        <w:t xml:space="preserve"> poslední ze základních</w:t>
      </w:r>
      <w:r>
        <w:t xml:space="preserve"> goniometrick</w:t>
      </w:r>
      <w:r w:rsidR="00C52AAA">
        <w:t xml:space="preserve">ých </w:t>
      </w:r>
      <w:r>
        <w:t xml:space="preserve"> funkc</w:t>
      </w:r>
      <w:r w:rsidR="00C52AAA">
        <w:t>í - funkci ko</w:t>
      </w:r>
      <w:r>
        <w:t xml:space="preserve">tangens, </w:t>
      </w:r>
      <w:r w:rsidR="0059409E">
        <w:t xml:space="preserve">dále </w:t>
      </w:r>
      <w:r>
        <w:t xml:space="preserve">popisuje její </w:t>
      </w:r>
      <w:r w:rsidR="0059409E">
        <w:t xml:space="preserve">základní </w:t>
      </w:r>
      <w:r>
        <w:t>vlastnosti</w:t>
      </w:r>
      <w:r w:rsidR="005F1BB5">
        <w:t xml:space="preserve">. </w:t>
      </w:r>
      <w:r w:rsidR="00B370B9">
        <w:t xml:space="preserve"> </w:t>
      </w:r>
      <w:r w:rsidR="0059409E">
        <w:t>Následně</w:t>
      </w:r>
      <w:r>
        <w:t xml:space="preserve"> ukazuje grafy funkcí, které jsou odvozeny od základní funkce </w:t>
      </w:r>
      <w:r w:rsidR="00C52AAA">
        <w:t>ko</w:t>
      </w:r>
      <w:r>
        <w:t xml:space="preserve">tangens. </w:t>
      </w:r>
      <w:r w:rsidR="0059409E">
        <w:t>Především</w:t>
      </w:r>
      <w:r>
        <w:t xml:space="preserve"> je </w:t>
      </w:r>
      <w:r w:rsidR="0015634F">
        <w:t xml:space="preserve">určen </w:t>
      </w:r>
      <w:r>
        <w:t xml:space="preserve">jako výkladový materiál </w:t>
      </w:r>
      <w:r w:rsidR="0015634F">
        <w:t xml:space="preserve">pro studenty </w:t>
      </w:r>
      <w:r>
        <w:t>2. ročníku. Další využití materiálu je možné při samostudiu</w:t>
      </w:r>
      <w:r w:rsidR="006E0180">
        <w:t xml:space="preserve"> a</w:t>
      </w:r>
      <w:r w:rsidR="0015634F">
        <w:t xml:space="preserve"> k </w:t>
      </w:r>
      <w:r w:rsidR="003D6A32">
        <w:t xml:space="preserve">upevnění </w:t>
      </w:r>
      <w:r w:rsidR="0015634F">
        <w:t xml:space="preserve">učiva. </w:t>
      </w:r>
      <w:r w:rsidR="006E0180">
        <w:t>Další možností je</w:t>
      </w:r>
      <w:r w:rsidR="0015634F">
        <w:t xml:space="preserve"> materiál použít při opakování tématu v období přípravy na maturitní zkoušku.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59409E" w:rsidRDefault="00B370B9" w:rsidP="00DD5D98">
      <w:pPr>
        <w:rPr>
          <w:rFonts w:eastAsiaTheme="minorEastAsia"/>
        </w:rPr>
      </w:pPr>
      <w:r>
        <w:t xml:space="preserve">Materiál </w:t>
      </w:r>
      <w:r w:rsidR="006E0180">
        <w:t>má pomoci</w:t>
      </w:r>
      <w:r>
        <w:t xml:space="preserve"> </w:t>
      </w:r>
      <w:r w:rsidR="006E0180">
        <w:t>při</w:t>
      </w:r>
      <w:r>
        <w:t xml:space="preserve"> výuce</w:t>
      </w:r>
      <w:r w:rsidR="006E0180">
        <w:t xml:space="preserve"> goniometrických</w:t>
      </w:r>
      <w:r>
        <w:t xml:space="preserve"> funkcí, konkrétně k výkladu grafu </w:t>
      </w:r>
      <w:r w:rsidR="00D32C06">
        <w:t xml:space="preserve">jedné ze základních goniometrických funkcí  - funkce </w:t>
      </w:r>
      <w:r w:rsidR="00C52AAA">
        <w:t>ko</w:t>
      </w:r>
      <w:r w:rsidR="00FE0AEF">
        <w:t>tangens</w:t>
      </w:r>
      <w:r w:rsidR="005F1BB5">
        <w:t>.</w:t>
      </w:r>
      <w:r w:rsidR="00D32C06">
        <w:t xml:space="preserve"> </w:t>
      </w:r>
      <w:r w:rsidR="00FE0AEF">
        <w:t xml:space="preserve">Funkce </w:t>
      </w:r>
      <w:r w:rsidR="00C52AAA">
        <w:t>ko</w:t>
      </w:r>
      <w:r w:rsidR="00FE0AEF">
        <w:t>tangens je zobrazena a popsána</w:t>
      </w:r>
      <w:r w:rsidR="005F1BB5">
        <w:t xml:space="preserve"> </w:t>
      </w:r>
      <w:r w:rsidR="00D32C06">
        <w:t xml:space="preserve">na její základní periodě, dále pak ukazuje tuto funkci jako periodickou (z grafu y = </w:t>
      </w:r>
      <w:r w:rsidR="00C52AAA">
        <w:t>co</w:t>
      </w:r>
      <w:r w:rsidR="00FE0AEF">
        <w:t>tg</w:t>
      </w:r>
      <w:r w:rsidR="00D32C06">
        <w:t xml:space="preserve"> x pro </w:t>
      </w:r>
      <m:oMath>
        <m:r>
          <w:rPr>
            <w:rFonts w:ascii="Cambria Math" w:hAnsi="Cambria Math"/>
          </w:rPr>
          <m:t>xϵ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-2π,2π</m:t>
            </m:r>
          </m:e>
        </m:d>
      </m:oMath>
      <w:r w:rsidR="00D32C06">
        <w:rPr>
          <w:rFonts w:eastAsiaTheme="minorEastAsia"/>
        </w:rPr>
        <w:t xml:space="preserve"> je možné o</w:t>
      </w:r>
      <w:r w:rsidR="0059409E">
        <w:rPr>
          <w:rFonts w:eastAsiaTheme="minorEastAsia"/>
        </w:rPr>
        <w:t xml:space="preserve">dvodit základní periodu funkce). </w:t>
      </w:r>
    </w:p>
    <w:p w:rsidR="00D32C06" w:rsidRDefault="00C52AAA" w:rsidP="00DD5D98">
      <w:pPr>
        <w:rPr>
          <w:rFonts w:eastAsiaTheme="minorEastAsia"/>
        </w:rPr>
      </w:pPr>
      <w:r>
        <w:rPr>
          <w:rFonts w:eastAsiaTheme="minorEastAsia"/>
        </w:rPr>
        <w:t xml:space="preserve">V </w:t>
      </w:r>
      <w:r w:rsidR="00D32C06">
        <w:rPr>
          <w:rFonts w:eastAsiaTheme="minorEastAsia"/>
        </w:rPr>
        <w:t xml:space="preserve">materiálu rozpracovány grafy funkcí </w:t>
      </w:r>
      <m:oMath>
        <m:r>
          <w:rPr>
            <w:rFonts w:ascii="Cambria Math" w:eastAsiaTheme="minorEastAsia" w:hAnsi="Cambria Math"/>
          </w:rPr>
          <m:t>y=cotg</m:t>
        </m:r>
        <m:r>
          <w:rPr>
            <w:rFonts w:ascii="Cambria Math" w:eastAsiaTheme="minorEastAsia" w:hAnsi="Cambria Math" w:cs="Cambria Math"/>
          </w:rPr>
          <m:t>⁡ax</m:t>
        </m:r>
        <m:r>
          <w:rPr>
            <w:rFonts w:ascii="Cambria Math" w:eastAsiaTheme="minorEastAsia" w:hAnsi="Cambria Math"/>
          </w:rPr>
          <m:t>, a</m:t>
        </m:r>
        <m:r>
          <w:rPr>
            <w:rFonts w:ascii="Cambria Math" w:eastAsiaTheme="minorEastAsia" w:hAnsi="Cambria Math" w:cs="Cambria Math"/>
          </w:rPr>
          <m:t>∈</m:t>
        </m:r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</w:rPr>
              <m:t>+</m:t>
            </m:r>
          </m:sup>
        </m:sSup>
      </m:oMath>
      <w:r w:rsidR="00D32C06">
        <w:rPr>
          <w:rFonts w:eastAsiaTheme="minorEastAsia"/>
        </w:rPr>
        <w:t xml:space="preserve"> a grafy </w:t>
      </w:r>
      <m:oMath>
        <m:r>
          <w:rPr>
            <w:rFonts w:ascii="Cambria Math" w:eastAsiaTheme="minorEastAsia" w:hAnsi="Cambria Math"/>
          </w:rPr>
          <m:t>y=cotg</m:t>
        </m:r>
        <m:r>
          <w:rPr>
            <w:rFonts w:ascii="Cambria Math" w:eastAsiaTheme="minorEastAsia" w:hAnsi="Cambria Math" w:cs="Cambria Math"/>
          </w:rPr>
          <m:t>⁡</m:t>
        </m:r>
        <m:r>
          <w:rPr>
            <w:rFonts w:ascii="Cambria Math" w:eastAsiaTheme="minorEastAsia" w:hAnsi="Cambria Math"/>
          </w:rPr>
          <m:t>(x+a), a</m:t>
        </m:r>
        <m:r>
          <w:rPr>
            <w:rFonts w:ascii="Cambria Math" w:eastAsiaTheme="minorEastAsia" w:hAnsi="Cambria Math" w:cs="Cambria Math"/>
          </w:rPr>
          <m:t>∈</m:t>
        </m:r>
        <m:r>
          <w:rPr>
            <w:rFonts w:ascii="Cambria Math" w:eastAsiaTheme="minorEastAsia" w:hAnsi="Cambria Math" w:cs="Calibri"/>
          </w:rPr>
          <m:t>R</m:t>
        </m:r>
      </m:oMath>
      <w:r w:rsidR="00D32C06">
        <w:rPr>
          <w:rFonts w:eastAsiaTheme="minorEastAsia"/>
        </w:rPr>
        <w:t xml:space="preserve"> .</w:t>
      </w:r>
    </w:p>
    <w:p w:rsidR="00B370B9" w:rsidRPr="00D32C06" w:rsidRDefault="005D67C6" w:rsidP="00DD5D98">
      <w:pPr>
        <w:rPr>
          <w:rFonts w:eastAsiaTheme="minorEastAsia"/>
        </w:rPr>
      </w:pPr>
      <w:r>
        <w:rPr>
          <w:rFonts w:eastAsiaTheme="minorEastAsia"/>
        </w:rPr>
        <w:t>Pod každým grafem je uveden závěr</w:t>
      </w:r>
      <w:r w:rsidR="00C52AAA">
        <w:rPr>
          <w:rFonts w:eastAsiaTheme="minorEastAsia"/>
        </w:rPr>
        <w:t>, který je pro</w:t>
      </w:r>
      <w:r>
        <w:rPr>
          <w:rFonts w:eastAsiaTheme="minorEastAsia"/>
        </w:rPr>
        <w:t xml:space="preserve"> </w:t>
      </w:r>
      <w:r w:rsidR="00C52AAA">
        <w:rPr>
          <w:rFonts w:eastAsiaTheme="minorEastAsia"/>
        </w:rPr>
        <w:t>s</w:t>
      </w:r>
      <w:r w:rsidR="00496BCC">
        <w:rPr>
          <w:rFonts w:eastAsiaTheme="minorEastAsia"/>
        </w:rPr>
        <w:t>tudent</w:t>
      </w:r>
      <w:r w:rsidR="00C52AAA">
        <w:rPr>
          <w:rFonts w:eastAsiaTheme="minorEastAsia"/>
        </w:rPr>
        <w:t>a</w:t>
      </w:r>
      <w:r w:rsidR="00496BCC">
        <w:rPr>
          <w:rFonts w:eastAsiaTheme="minorEastAsia"/>
        </w:rPr>
        <w:t xml:space="preserve"> kontrolo</w:t>
      </w:r>
      <w:r w:rsidR="00C52AAA">
        <w:rPr>
          <w:rFonts w:eastAsiaTheme="minorEastAsia"/>
        </w:rPr>
        <w:t>u</w:t>
      </w:r>
      <w:r w:rsidR="00496BCC">
        <w:rPr>
          <w:rFonts w:eastAsiaTheme="minorEastAsia"/>
        </w:rPr>
        <w:t>, zda byl při práci úspěšný.</w:t>
      </w:r>
    </w:p>
    <w:p w:rsidR="00496BCC" w:rsidRDefault="00FE0AEF" w:rsidP="00DD5D98">
      <w:pPr>
        <w:rPr>
          <w:rFonts w:eastAsiaTheme="minorEastAsia"/>
        </w:rPr>
      </w:pPr>
      <w:r>
        <w:rPr>
          <w:rFonts w:eastAsiaTheme="minorEastAsia"/>
        </w:rPr>
        <w:t xml:space="preserve">Materiál pomůže studentům názorněji přiblížit funkci </w:t>
      </w:r>
      <w:r w:rsidR="00C52AAA">
        <w:rPr>
          <w:rFonts w:eastAsiaTheme="minorEastAsia"/>
        </w:rPr>
        <w:t>ko</w:t>
      </w:r>
      <w:r>
        <w:rPr>
          <w:rFonts w:eastAsiaTheme="minorEastAsia"/>
        </w:rPr>
        <w:t>tangens</w:t>
      </w:r>
      <w:r w:rsidR="005D67C6">
        <w:rPr>
          <w:rFonts w:eastAsiaTheme="minorEastAsia"/>
        </w:rPr>
        <w:t>.</w:t>
      </w:r>
      <w:r w:rsidR="005F1BB5">
        <w:rPr>
          <w:rFonts w:eastAsiaTheme="minorEastAsia"/>
        </w:rPr>
        <w:t xml:space="preserve"> Ve sbírce úloh jsou příklady, po jejichž vyřešení studenti poznají základní vlastnosti funkce </w:t>
      </w:r>
      <w:r w:rsidR="00C52AAA">
        <w:rPr>
          <w:rFonts w:eastAsiaTheme="minorEastAsia"/>
        </w:rPr>
        <w:t>ko</w:t>
      </w:r>
      <w:r w:rsidR="00004C5B">
        <w:rPr>
          <w:rFonts w:eastAsiaTheme="minorEastAsia"/>
        </w:rPr>
        <w:t>tangens</w:t>
      </w:r>
      <w:r w:rsidR="005F1BB5">
        <w:rPr>
          <w:rFonts w:eastAsiaTheme="minorEastAsia"/>
        </w:rPr>
        <w:t>, které mají za úkol odvodit z grafu funkce.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Daný výukový materiál je možné použít :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a) pasivně  - vyučující zobrazuje postupně při výkladu jednotlivé grafy a spolu se studenty formuluje závěr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b) aktivně - materiál je předložen studentům. Je upraven tak, aby obsahoval pouze přepisy pro funkce. Studenti mohou předpisy měnit a pozorovat, jak se mění grafy funkcí při změně parametrů. Na závěr hodiny vysloví závěr.</w:t>
      </w:r>
    </w:p>
    <w:p w:rsidR="00496BCC" w:rsidRPr="00B370B9" w:rsidRDefault="00496BCC" w:rsidP="00DD5D98">
      <w:pPr>
        <w:rPr>
          <w:oMath/>
          <w:rFonts w:ascii="Cambria Math" w:hAnsi="Cambria Math"/>
        </w:rPr>
      </w:pP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8A4CC3" w:rsidRDefault="005D67C6" w:rsidP="00923225">
      <w:proofErr w:type="spellStart"/>
      <w:r>
        <w:t>Manipulate</w:t>
      </w:r>
      <w:proofErr w:type="spellEnd"/>
      <w:r>
        <w:t xml:space="preserve"> - Ve spojení s funkcí Plot dokáže zobrazit plynulý posun funkce podle daného parametru. V tomto případě vliv reálného čísla, které je přičteno (odečteno) k argumentu funkce </w:t>
      </w:r>
      <w:r w:rsidR="00B21B4B">
        <w:t>sinus</w:t>
      </w:r>
      <w:r>
        <w:t xml:space="preserve"> na její graf. (Tuto část považuji za velmi přínosnou - studenti okamžitě vidí změnu na grafu a lépe si zapamatují význam jednotlivých parametrů, je velmi názorné.)</w:t>
      </w:r>
    </w:p>
    <w:p w:rsidR="00923225" w:rsidRDefault="005E3A75" w:rsidP="00923225">
      <w:pPr>
        <w:pStyle w:val="Nadpis1"/>
      </w:pPr>
      <w:r>
        <w:t>Shrnutí</w:t>
      </w:r>
    </w:p>
    <w:p w:rsidR="006804D1" w:rsidRDefault="006804D1" w:rsidP="006804D1">
      <w:r>
        <w:t>Materiál umožnil studentům lépe poznat funkci kotangens. Funkce je zobrazena daleko přesněji než při kreslení na tabuli. Materiál umožňuje flexibilní změnu v předpisu funkce podle dotazu studentů.</w:t>
      </w:r>
    </w:p>
    <w:p w:rsidR="006804D1" w:rsidRDefault="006804D1" w:rsidP="006804D1">
      <w:r>
        <w:t>Materiál je možné použít v jedné vyučovací hodině celý, stejně tak je možné použít jen jeho část podle potřeb vyučujícího.</w:t>
      </w:r>
    </w:p>
    <w:p w:rsidR="008A4CC3" w:rsidRDefault="006804D1" w:rsidP="006804D1">
      <w:r>
        <w:t xml:space="preserve">Je třeba nechat studentům dostatek času, aby si grafy stačili nakreslit. </w:t>
      </w:r>
    </w:p>
    <w:sectPr w:rsidR="008A4CC3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41" w:rsidRDefault="000D1141" w:rsidP="00DD5D98">
      <w:pPr>
        <w:spacing w:after="0" w:line="240" w:lineRule="auto"/>
      </w:pPr>
      <w:r>
        <w:separator/>
      </w:r>
    </w:p>
  </w:endnote>
  <w:endnote w:type="continuationSeparator" w:id="0">
    <w:p w:rsidR="000D1141" w:rsidRDefault="000D114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41" w:rsidRDefault="000D1141" w:rsidP="00DD5D98">
      <w:pPr>
        <w:spacing w:after="0" w:line="240" w:lineRule="auto"/>
      </w:pPr>
      <w:r>
        <w:separator/>
      </w:r>
    </w:p>
  </w:footnote>
  <w:footnote w:type="continuationSeparator" w:id="0">
    <w:p w:rsidR="000D1141" w:rsidRDefault="000D114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4C5B"/>
    <w:rsid w:val="000071B1"/>
    <w:rsid w:val="000539E1"/>
    <w:rsid w:val="00081756"/>
    <w:rsid w:val="000D1141"/>
    <w:rsid w:val="000D3346"/>
    <w:rsid w:val="00100298"/>
    <w:rsid w:val="0015634F"/>
    <w:rsid w:val="001B7F53"/>
    <w:rsid w:val="0021166F"/>
    <w:rsid w:val="002515EC"/>
    <w:rsid w:val="00286D3B"/>
    <w:rsid w:val="0029218D"/>
    <w:rsid w:val="00376578"/>
    <w:rsid w:val="003A0021"/>
    <w:rsid w:val="003B5983"/>
    <w:rsid w:val="003D6A32"/>
    <w:rsid w:val="003F3CEE"/>
    <w:rsid w:val="00492A5E"/>
    <w:rsid w:val="00496BCC"/>
    <w:rsid w:val="004F1527"/>
    <w:rsid w:val="0059409E"/>
    <w:rsid w:val="005B3BD8"/>
    <w:rsid w:val="005D67C6"/>
    <w:rsid w:val="005E3A75"/>
    <w:rsid w:val="005F1BB5"/>
    <w:rsid w:val="00650990"/>
    <w:rsid w:val="006804D1"/>
    <w:rsid w:val="006E0180"/>
    <w:rsid w:val="00732ECA"/>
    <w:rsid w:val="00752154"/>
    <w:rsid w:val="007D1143"/>
    <w:rsid w:val="008A47A1"/>
    <w:rsid w:val="008A4CC3"/>
    <w:rsid w:val="008D4D41"/>
    <w:rsid w:val="008F543D"/>
    <w:rsid w:val="008F57E1"/>
    <w:rsid w:val="00923225"/>
    <w:rsid w:val="009259BE"/>
    <w:rsid w:val="0094660F"/>
    <w:rsid w:val="009923CA"/>
    <w:rsid w:val="00A124E9"/>
    <w:rsid w:val="00A77957"/>
    <w:rsid w:val="00AA2307"/>
    <w:rsid w:val="00AC0D9D"/>
    <w:rsid w:val="00B2197A"/>
    <w:rsid w:val="00B21B4B"/>
    <w:rsid w:val="00B370B9"/>
    <w:rsid w:val="00C12261"/>
    <w:rsid w:val="00C52AAA"/>
    <w:rsid w:val="00D32C06"/>
    <w:rsid w:val="00D90FBF"/>
    <w:rsid w:val="00D92D26"/>
    <w:rsid w:val="00DA63D9"/>
    <w:rsid w:val="00DD5D98"/>
    <w:rsid w:val="00E97216"/>
    <w:rsid w:val="00EC4EF3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2014-10-18T19:29:00Z</dcterms:created>
  <dcterms:modified xsi:type="dcterms:W3CDTF">2015-01-06T11:22:00Z</dcterms:modified>
</cp:coreProperties>
</file>