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E121C">
              <w:rPr>
                <w:rFonts w:ascii="Calibri" w:eastAsia="Calibri" w:hAnsi="Calibri" w:cs="Times New Roman"/>
              </w:rPr>
              <w:t>CZ .1.07/1.1.36/02.0066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Ing.Pavel</w:t>
            </w:r>
            <w:proofErr w:type="spellEnd"/>
            <w:proofErr w:type="gramEnd"/>
            <w:r w:rsidR="008A584F">
              <w:rPr>
                <w:rFonts w:ascii="Calibri" w:eastAsia="Calibri" w:hAnsi="Calibri" w:cs="Times New Roman"/>
              </w:rPr>
              <w:t xml:space="preserve"> </w:t>
            </w:r>
            <w:r w:rsidR="0028021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t>Namáhání ohybem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280211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Ohybové momenty-</w:t>
            </w:r>
            <w:r w:rsidR="00907807">
              <w:rPr>
                <w:rFonts w:ascii="Calibri" w:eastAsia="Calibri" w:hAnsi="Calibri" w:cs="Times New Roman"/>
              </w:rPr>
              <w:t>Zatížení osamělými silami</w:t>
            </w:r>
            <w:r>
              <w:rPr>
                <w:rFonts w:ascii="Calibri" w:eastAsia="Calibri" w:hAnsi="Calibri" w:cs="Times New Roman"/>
              </w:rPr>
              <w:t>-změna vzdálenosti zatížení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907807">
        <w:t> </w:t>
      </w:r>
      <w:proofErr w:type="gramStart"/>
      <w:r w:rsidR="00907807">
        <w:t>namáhaní</w:t>
      </w:r>
      <w:proofErr w:type="gramEnd"/>
      <w:r w:rsidR="00907807">
        <w:t xml:space="preserve"> nosníků napětím v ohybu způsobeným osamělými silami.</w:t>
      </w:r>
      <w:r>
        <w:t xml:space="preserve"> Učitel pomocí něj demonstruje</w:t>
      </w:r>
      <w:r w:rsidR="00424E76">
        <w:t xml:space="preserve"> </w:t>
      </w:r>
      <w:r>
        <w:t xml:space="preserve">závislost hodnoty </w:t>
      </w:r>
      <w:r w:rsidR="00907807">
        <w:t xml:space="preserve">ohybového momentu / </w:t>
      </w:r>
      <w:proofErr w:type="spellStart"/>
      <w:r w:rsidR="00907807">
        <w:t>Mo</w:t>
      </w:r>
      <w:proofErr w:type="spellEnd"/>
      <w:r w:rsidR="00907807">
        <w:t xml:space="preserve"> / na velikosti jednotlivých sil a na místech jejich působení</w:t>
      </w:r>
      <w:r>
        <w:t xml:space="preserve">. </w:t>
      </w:r>
      <w:r w:rsidR="00907807">
        <w:t xml:space="preserve">Žáci díky tomuto materiálu </w:t>
      </w:r>
      <w:proofErr w:type="gramStart"/>
      <w:r w:rsidR="00907807">
        <w:t>pochopí co</w:t>
      </w:r>
      <w:proofErr w:type="gramEnd"/>
      <w:r w:rsidR="00907807">
        <w:t xml:space="preserve"> způsobuje vznik </w:t>
      </w:r>
      <w:proofErr w:type="spellStart"/>
      <w:r w:rsidR="00907807">
        <w:t>Mo</w:t>
      </w:r>
      <w:proofErr w:type="spellEnd"/>
      <w:r w:rsidR="00907807">
        <w:t xml:space="preserve"> a jak lze jednoduše stanovit jeho velikost a příslušné rozměry nosníku</w:t>
      </w:r>
      <w:r w:rsidR="003053BC">
        <w:t xml:space="preserve"> v závislosti na pevnosti materiálu.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 xml:space="preserve">Materiály slouží k osvojení a pochopení základních pevnostních výpočtů používaných v pružnosti-pevnosti, což je cílem těchto hodin. Žáci se naučí pomocí  metody řezu, grafického zobrazení posouvajících sil a </w:t>
      </w:r>
      <w:proofErr w:type="spellStart"/>
      <w:r>
        <w:t>Schwedlerovy</w:t>
      </w:r>
      <w:proofErr w:type="spellEnd"/>
      <w:r>
        <w:t xml:space="preserve"> věty určit velikost maximálního ohybového momentu</w:t>
      </w:r>
      <w:r w:rsidR="00DE2293">
        <w:t xml:space="preserve"> / </w:t>
      </w:r>
      <w:proofErr w:type="spellStart"/>
      <w:proofErr w:type="gramStart"/>
      <w:r w:rsidR="00DE2293">
        <w:t>Momax</w:t>
      </w:r>
      <w:proofErr w:type="spellEnd"/>
      <w:r w:rsidR="00DE2293">
        <w:t xml:space="preserve"> /</w:t>
      </w:r>
      <w:r>
        <w:t xml:space="preserve"> , kterážto</w:t>
      </w:r>
      <w:proofErr w:type="gramEnd"/>
      <w:r>
        <w:t xml:space="preserve"> hodnota je určující pro další pevnostní výpočty a určení výsledných rozměrů zatěžovaných prvků. Dále se prohloubí znalosti z mechaniky Statiky – první ročník SPŠ : použití</w:t>
      </w:r>
      <w:bookmarkStart w:id="0" w:name="_GoBack"/>
      <w:bookmarkEnd w:id="0"/>
      <w:r>
        <w:t xml:space="preserve"> a tvorba konkrétních rovnic rovnováhy</w:t>
      </w:r>
      <w:r w:rsidR="00CB138E">
        <w:t xml:space="preserve"> a též grafická orientace v dané problematice. Což zejména ze začátku probírané látky dělá žákům velké potíže. Žáci používají WM zprvu pasivně tak, aby si mohli vyzkoušet a „osahat“ práci s tímto programem. Pro aktivní použití slouží příklady k procvičení. Ve výukových programech mohou žáci lehce měnit zadané hodnoty / Síly a rozměry součásti / a vyzkoušet si tak velice rychle, jak se mění výsledné rozměry zatěžovaných prvků. Na což dále </w:t>
      </w:r>
      <w:r w:rsidR="00DE2293">
        <w:t xml:space="preserve">navazuje práce se Strojnickými </w:t>
      </w:r>
      <w:proofErr w:type="gramStart"/>
      <w:r w:rsidR="00DE2293">
        <w:t>t</w:t>
      </w:r>
      <w:r w:rsidR="00CB138E">
        <w:t>abulkami ve</w:t>
      </w:r>
      <w:proofErr w:type="gramEnd"/>
      <w:r w:rsidR="00CB138E">
        <w:t xml:space="preserve"> kterých žáci hledají výsledné rozměry daných profilů a díky  WM jsou schopni vyzkoušet si daleko více 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10548C" w:rsidRDefault="00F85B57" w:rsidP="00A44E15">
      <w:r>
        <w:t>WM umožňuje zobraze</w:t>
      </w:r>
      <w:r w:rsidR="00CE595F">
        <w:t xml:space="preserve">ní hodnot reakčních </w:t>
      </w:r>
      <w:proofErr w:type="gramStart"/>
      <w:r w:rsidR="00CE595F">
        <w:t>sil , maximálního</w:t>
      </w:r>
      <w:proofErr w:type="gramEnd"/>
      <w:r w:rsidR="00CE595F">
        <w:t xml:space="preserve"> ohybového momentu / </w:t>
      </w:r>
      <w:proofErr w:type="spellStart"/>
      <w:r w:rsidR="00CE595F">
        <w:t>Momax</w:t>
      </w:r>
      <w:proofErr w:type="spellEnd"/>
      <w:r w:rsidR="00CE595F">
        <w:t xml:space="preserve"> / a  modulu průřezu v ohybu / </w:t>
      </w:r>
      <w:proofErr w:type="spellStart"/>
      <w:r w:rsidR="00CE595F">
        <w:t>Wo</w:t>
      </w:r>
      <w:proofErr w:type="spellEnd"/>
      <w:r w:rsidR="00CE595F">
        <w:t xml:space="preserve"> / v závislosti na :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Velikosti zatěžujících sil a jejich působišti</w:t>
      </w:r>
    </w:p>
    <w:p w:rsidR="0010548C" w:rsidRDefault="00CE595F" w:rsidP="00F85B57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 xml:space="preserve">Mechanických </w:t>
      </w:r>
      <w:proofErr w:type="gramStart"/>
      <w:r>
        <w:t>hodnotách</w:t>
      </w:r>
      <w:proofErr w:type="gramEnd"/>
      <w:r>
        <w:t xml:space="preserve"> daného materiálu / dovolené napětí v ohybu /</w:t>
      </w:r>
    </w:p>
    <w:p w:rsidR="00693CF1" w:rsidRDefault="00CE595F" w:rsidP="00F85B57">
      <w:r>
        <w:t xml:space="preserve">Postup řešení využívá poznatky z prvního ročníku a nutí žáky používat a </w:t>
      </w:r>
      <w:proofErr w:type="gramStart"/>
      <w:r>
        <w:t>opakovat   známé</w:t>
      </w:r>
      <w:proofErr w:type="gramEnd"/>
      <w:r>
        <w:t xml:space="preserve"> postupy. Součásti </w:t>
      </w:r>
      <w:r w:rsidR="00123C12">
        <w:t xml:space="preserve">dané konkrétními rozměry a pevnostními podmínkami </w:t>
      </w:r>
      <w:r>
        <w:t>jsou vždy zatíženy vnějšími silami, jejichž hodnotu známe / v dalších cvičeních je možno tyto hodnoty libovolně měnit /</w:t>
      </w:r>
      <w:r w:rsidR="00123C12">
        <w:t xml:space="preserve">. Pomocí programu WM  stanovíme velikost reakčních sil </w:t>
      </w:r>
      <w:r w:rsidR="00424E76">
        <w:t xml:space="preserve">v závislosti na posouvání zatěžující síly F1 </w:t>
      </w:r>
      <w:r w:rsidR="00123C12">
        <w:t>pomocí příkazů</w:t>
      </w:r>
      <w:r w:rsidR="00424E76">
        <w:t xml:space="preserve">“ </w:t>
      </w:r>
      <w:proofErr w:type="spellStart"/>
      <w:r w:rsidR="00424E76">
        <w:t>ftab</w:t>
      </w:r>
      <w:proofErr w:type="spellEnd"/>
      <w:r w:rsidR="00424E76">
        <w:t>;</w:t>
      </w:r>
      <w:r w:rsidR="00123C12">
        <w:t xml:space="preserve"> </w:t>
      </w:r>
      <w:proofErr w:type="spellStart"/>
      <w:r w:rsidR="00123C12">
        <w:t>ClearAll</w:t>
      </w:r>
      <w:proofErr w:type="spellEnd"/>
      <w:r w:rsidR="00123C12">
        <w:t xml:space="preserve"> a </w:t>
      </w:r>
      <w:proofErr w:type="spellStart"/>
      <w:r w:rsidR="00123C12">
        <w:t>Solve</w:t>
      </w:r>
      <w:proofErr w:type="spellEnd"/>
      <w:r w:rsidR="00123C12">
        <w:t xml:space="preserve">, případně </w:t>
      </w:r>
      <w:proofErr w:type="spellStart"/>
      <w:r w:rsidR="00123C12">
        <w:t>NSolve</w:t>
      </w:r>
      <w:proofErr w:type="spellEnd"/>
      <w:r w:rsidR="00123C12">
        <w:t xml:space="preserve">, vypočte program WM jejich hodnoty. </w:t>
      </w:r>
      <w:r w:rsidR="00424E76">
        <w:t xml:space="preserve">Poté určíme místo maximálního ohybového momentu, </w:t>
      </w:r>
      <w:proofErr w:type="gramStart"/>
      <w:r w:rsidR="00424E76">
        <w:t xml:space="preserve">příkaz : </w:t>
      </w:r>
      <w:proofErr w:type="spellStart"/>
      <w:r w:rsidR="00424E76">
        <w:t>vysl</w:t>
      </w:r>
      <w:proofErr w:type="spellEnd"/>
      <w:r w:rsidR="00424E76">
        <w:t>//</w:t>
      </w:r>
      <w:proofErr w:type="spellStart"/>
      <w:r w:rsidR="00424E76">
        <w:t>TableForm</w:t>
      </w:r>
      <w:proofErr w:type="spellEnd"/>
      <w:proofErr w:type="gramEnd"/>
      <w:r w:rsidR="00424E76">
        <w:t xml:space="preserve">. </w:t>
      </w:r>
      <w:r w:rsidR="00C13B0A">
        <w:t>Platí pro R</w:t>
      </w:r>
      <w:r w:rsidR="00C13B0A" w:rsidRPr="00C13B0A">
        <w:rPr>
          <w:sz w:val="20"/>
        </w:rPr>
        <w:t>A</w:t>
      </w:r>
      <w:r w:rsidR="00C13B0A">
        <w:t xml:space="preserve"> = F</w:t>
      </w:r>
      <w:r w:rsidR="00C13B0A" w:rsidRPr="00C13B0A">
        <w:rPr>
          <w:sz w:val="20"/>
        </w:rPr>
        <w:t>1</w:t>
      </w:r>
      <w:r w:rsidR="00D777AC">
        <w:rPr>
          <w:sz w:val="20"/>
        </w:rPr>
        <w:t xml:space="preserve"> </w:t>
      </w:r>
      <w:r w:rsidR="00D777AC" w:rsidRPr="00D777AC">
        <w:rPr>
          <w:sz w:val="32"/>
        </w:rPr>
        <w:t>!</w:t>
      </w:r>
      <w:r w:rsidR="00D777AC">
        <w:rPr>
          <w:sz w:val="20"/>
        </w:rPr>
        <w:t xml:space="preserve"> </w:t>
      </w:r>
      <w:r w:rsidR="00424E76">
        <w:t>Dále za pomoci dosazovacího operátoru vypočteme velikosti maximálních ohybových momentů měnících se v závislosti na posuvnu zatěžující síly F1</w:t>
      </w:r>
      <w:r w:rsidR="00924B04">
        <w:t xml:space="preserve">. Tím získáme podklad pro výpočet jednotlivých modulů průřezu </w:t>
      </w:r>
      <w:proofErr w:type="spellStart"/>
      <w:r w:rsidR="00924B04">
        <w:t>Wox</w:t>
      </w:r>
      <w:proofErr w:type="spellEnd"/>
      <w:r w:rsidR="00924B04">
        <w:t>. Výsledky sestavíme do tabulky.</w:t>
      </w:r>
      <w:r w:rsidR="00123C12">
        <w:t xml:space="preserve"> Za pomoci Strojnických Tabulek najdeme hledaný rozměr – to je </w:t>
      </w:r>
      <w:r w:rsidR="00924B04">
        <w:t>jediná část kde se nepoužije WM a porovnáme velikosti normalizovaných profilů, jež jsme vypočetli.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 tvorby rovnic rovnováhy nejen pro určení reakčních sil, ale též při tvorbě rovnic rovnováhy k místu řezu. Tato část výpočtu je obecně neměnná a musí se provést správně již jednou zažitými postupy. </w:t>
      </w:r>
      <w:r w:rsidR="00924B04">
        <w:t>Ovšem v tomto případě je velice náročné sledovat v tomto množství údajů správný postup výpočtu a neztratit se v džungli čísel.</w:t>
      </w:r>
      <w:r w:rsidR="00C13B0A">
        <w:t xml:space="preserve"> </w:t>
      </w:r>
      <w:r w:rsidR="00924B04">
        <w:t xml:space="preserve">Proto je dobré mít celý postup v hrubých rysech rozpracován klasicky na papíře vedle sebe. </w:t>
      </w:r>
      <w:r w:rsidR="00706C19">
        <w:t xml:space="preserve">Výpočet finálního rozměru součásti </w:t>
      </w:r>
      <w:r w:rsidR="00924B04">
        <w:t xml:space="preserve">by </w:t>
      </w:r>
      <w:r w:rsidR="00706C19">
        <w:t>již ne</w:t>
      </w:r>
      <w:r w:rsidR="00924B04">
        <w:t>měl být</w:t>
      </w:r>
      <w:r w:rsidR="00706C19">
        <w:t xml:space="preserve"> pro žáky velký problém. Dále je třeba věnovat velkou pozornost použitým jednotkám, což žákům činí trvalé </w:t>
      </w:r>
      <w:r w:rsidR="00706C19">
        <w:lastRenderedPageBreak/>
        <w:t>potíže a též vypočtené hodnoty nemusí poté odpovídat skutečnosti, neboť WM nepracuje s jednotkami tak, jak</w:t>
      </w:r>
      <w:r w:rsidR="000800FA">
        <w:t xml:space="preserve"> jsme zvyklí</w:t>
      </w:r>
      <w:r w:rsidR="00706C19">
        <w:t xml:space="preserve"> my při běžných výpočtech s tužkou a papírem. WM nám o</w:t>
      </w:r>
      <w:r w:rsidR="000800FA">
        <w:t>v</w:t>
      </w:r>
      <w:r w:rsidR="00706C19">
        <w:t>šem poskytuje výhodu rychle propočítat součást se změnou velikosti zatížení, což by žáci mohli ocenit i v praktických cvičeních ve Stavbě a provozu strojů.</w:t>
      </w:r>
      <w:r w:rsidR="00F4337D">
        <w:t xml:space="preserve"> Tato varianta zatížení je pro žáky méně problematická a tedy jednodušší nežli spojité zatížení a užití WM prohloubí znalosti i možnosti variací.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2B" w:rsidRDefault="0050212B" w:rsidP="009F4736">
      <w:pPr>
        <w:spacing w:line="240" w:lineRule="auto"/>
      </w:pPr>
      <w:r>
        <w:separator/>
      </w:r>
    </w:p>
  </w:endnote>
  <w:endnote w:type="continuationSeparator" w:id="0">
    <w:p w:rsidR="0050212B" w:rsidRDefault="0050212B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2B" w:rsidRDefault="0050212B" w:rsidP="009F4736">
      <w:pPr>
        <w:spacing w:line="240" w:lineRule="auto"/>
      </w:pPr>
      <w:r>
        <w:separator/>
      </w:r>
    </w:p>
  </w:footnote>
  <w:footnote w:type="continuationSeparator" w:id="0">
    <w:p w:rsidR="0050212B" w:rsidRDefault="0050212B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800FA"/>
    <w:rsid w:val="0010548C"/>
    <w:rsid w:val="00123C12"/>
    <w:rsid w:val="00280211"/>
    <w:rsid w:val="00300D47"/>
    <w:rsid w:val="003053BC"/>
    <w:rsid w:val="003139B6"/>
    <w:rsid w:val="003E697D"/>
    <w:rsid w:val="00424E76"/>
    <w:rsid w:val="004B3A5A"/>
    <w:rsid w:val="0050212B"/>
    <w:rsid w:val="005143FD"/>
    <w:rsid w:val="00573D9D"/>
    <w:rsid w:val="005D6B98"/>
    <w:rsid w:val="00612355"/>
    <w:rsid w:val="00642450"/>
    <w:rsid w:val="00662B61"/>
    <w:rsid w:val="00674E71"/>
    <w:rsid w:val="00693CF1"/>
    <w:rsid w:val="006D1DC9"/>
    <w:rsid w:val="00706C19"/>
    <w:rsid w:val="00732255"/>
    <w:rsid w:val="007606EE"/>
    <w:rsid w:val="008328FB"/>
    <w:rsid w:val="00860ED9"/>
    <w:rsid w:val="008957F4"/>
    <w:rsid w:val="008A584F"/>
    <w:rsid w:val="008B282A"/>
    <w:rsid w:val="00907807"/>
    <w:rsid w:val="00924B04"/>
    <w:rsid w:val="009F4736"/>
    <w:rsid w:val="00A44E15"/>
    <w:rsid w:val="00A60B39"/>
    <w:rsid w:val="00A96B85"/>
    <w:rsid w:val="00AA1541"/>
    <w:rsid w:val="00B30932"/>
    <w:rsid w:val="00B80B05"/>
    <w:rsid w:val="00C073AD"/>
    <w:rsid w:val="00C13B0A"/>
    <w:rsid w:val="00C775C0"/>
    <w:rsid w:val="00C92D48"/>
    <w:rsid w:val="00CB138E"/>
    <w:rsid w:val="00CE595F"/>
    <w:rsid w:val="00D3687D"/>
    <w:rsid w:val="00D5484B"/>
    <w:rsid w:val="00D565AF"/>
    <w:rsid w:val="00D777AC"/>
    <w:rsid w:val="00DB0D16"/>
    <w:rsid w:val="00DE2293"/>
    <w:rsid w:val="00F4337D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39173-29EA-46C2-86D0-26E43462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2015-01-20T12:48:00Z</dcterms:created>
  <dcterms:modified xsi:type="dcterms:W3CDTF">2015-01-20T12:48:00Z</dcterms:modified>
</cp:coreProperties>
</file>