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8C63BF" w:rsidP="00DD5D98">
            <w:r>
              <w:t>Markéta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8C63BF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5D1B63" w:rsidP="001B7E39">
            <w:r>
              <w:t>Logaritmická funkce -</w:t>
            </w:r>
            <w:r w:rsidR="001B7E39">
              <w:t xml:space="preserve"> transformace souřadnic,</w:t>
            </w:r>
            <w:r>
              <w:t xml:space="preserve"> absolutní hodnota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8C63BF" w:rsidP="00DD5D98">
            <w:r>
              <w:t>Funkce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0A55BB" w:rsidRDefault="000A55BB" w:rsidP="00DD5D98">
      <w:r>
        <w:t xml:space="preserve">Materiál se zabývá výkladem grafu </w:t>
      </w:r>
      <w:r w:rsidR="00772FC6">
        <w:t xml:space="preserve">logaritmické </w:t>
      </w:r>
      <w:r>
        <w:t xml:space="preserve"> funkce</w:t>
      </w:r>
      <w:r w:rsidR="001C027D">
        <w:t xml:space="preserve"> resp. složitějších grafů logaritmické funkce</w:t>
      </w:r>
      <w:r>
        <w:t>.</w:t>
      </w:r>
      <w:r w:rsidR="00941DE1">
        <w:t>Hlavním záměrem bylo pokusit se vytvořit názornou pomůcku při výuce funkcí. Jeho využití je poměrně široké, lze použít při výuce i při samostudiu</w:t>
      </w:r>
      <w:r w:rsidR="00557230">
        <w:t>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5D1B63" w:rsidRDefault="00112A44" w:rsidP="00112A44">
      <w:pPr>
        <w:rPr>
          <w:rFonts w:eastAsiaTheme="minorEastAsia"/>
        </w:rPr>
      </w:pPr>
      <w:r>
        <w:t>Materiál slouží</w:t>
      </w:r>
      <w:r w:rsidR="005D1B63">
        <w:t xml:space="preserve"> jako další </w:t>
      </w:r>
      <w:r w:rsidR="00941DE1">
        <w:t xml:space="preserve">názorná </w:t>
      </w:r>
      <w:r w:rsidR="005D1B63">
        <w:t xml:space="preserve">pomůcka </w:t>
      </w:r>
      <w:r>
        <w:t xml:space="preserve"> k výuce funkcí, konkrétně k výkladu grafu </w:t>
      </w:r>
      <w:r w:rsidR="00772FC6">
        <w:t xml:space="preserve">logaritmické </w:t>
      </w:r>
      <w:r>
        <w:t xml:space="preserve"> funkce. Vychází ze znalosti základního grafu </w:t>
      </w:r>
      <w:r w:rsidR="001C027D">
        <w:t>logaritmické funkce</w:t>
      </w:r>
      <w:r>
        <w:t>.</w:t>
      </w:r>
      <w:r w:rsidR="005D1B63">
        <w:t xml:space="preserve"> </w:t>
      </w:r>
      <w:r w:rsidR="001C027D">
        <w:t>Cílem tohoto materiálu je odvodit složitější grafy logaritmických funkcí porovnáním s grafem základní logaritmické funkce</w:t>
      </w:r>
      <w:r w:rsidR="00772FC6">
        <w:rPr>
          <w:rFonts w:eastAsiaTheme="minorEastAsia"/>
        </w:rPr>
        <w:t>.</w:t>
      </w:r>
      <w:r w:rsidR="00992184">
        <w:rPr>
          <w:rFonts w:eastAsiaTheme="minorEastAsia"/>
        </w:rPr>
        <w:t xml:space="preserve">Nejprve hledáme vztah mezi základy logaritmické funkce (základem je číslo a číslo převrácené), poté následují grafy s absolutní hodnotou a na závěr grafy, které vedou k posunutí grafu funkce po ose </w:t>
      </w:r>
      <w:proofErr w:type="spellStart"/>
      <w:r w:rsidR="00992184">
        <w:rPr>
          <w:rFonts w:eastAsiaTheme="minorEastAsia"/>
        </w:rPr>
        <w:t>x</w:t>
      </w:r>
      <w:proofErr w:type="spellEnd"/>
      <w:r w:rsidR="00992184">
        <w:rPr>
          <w:rFonts w:eastAsiaTheme="minorEastAsia"/>
        </w:rPr>
        <w:t>.</w:t>
      </w:r>
      <w:r w:rsidR="00772FC6">
        <w:rPr>
          <w:rFonts w:eastAsiaTheme="minorEastAsia"/>
        </w:rPr>
        <w:t xml:space="preserve"> Veškeré vysvětlování  je podloženo grafy funkcí,</w:t>
      </w:r>
      <w:r w:rsidR="00772FC6" w:rsidRPr="00772FC6">
        <w:rPr>
          <w:rFonts w:eastAsiaTheme="minorEastAsia"/>
        </w:rPr>
        <w:t xml:space="preserve"> </w:t>
      </w:r>
      <w:r w:rsidR="00772FC6">
        <w:rPr>
          <w:rFonts w:eastAsiaTheme="minorEastAsia"/>
        </w:rPr>
        <w:t xml:space="preserve">pod daným grafem je vždy uveden závěr. </w:t>
      </w:r>
      <w:r>
        <w:rPr>
          <w:rFonts w:eastAsiaTheme="minorEastAsia"/>
        </w:rPr>
        <w:t xml:space="preserve">Student si tak může zkontrolovat v případě samostudia, zda byl při práci úspěšný.Studenti se </w:t>
      </w:r>
      <w:r w:rsidR="00772FC6">
        <w:rPr>
          <w:rFonts w:eastAsiaTheme="minorEastAsia"/>
        </w:rPr>
        <w:t>seznámí s graf</w:t>
      </w:r>
      <w:r w:rsidR="005D1B63">
        <w:rPr>
          <w:rFonts w:eastAsiaTheme="minorEastAsia"/>
        </w:rPr>
        <w:t xml:space="preserve">y složitějších </w:t>
      </w:r>
      <w:r w:rsidR="00772FC6">
        <w:rPr>
          <w:rFonts w:eastAsiaTheme="minorEastAsia"/>
        </w:rPr>
        <w:t xml:space="preserve"> logaritmick</w:t>
      </w:r>
      <w:r w:rsidR="005D1B63">
        <w:rPr>
          <w:rFonts w:eastAsiaTheme="minorEastAsia"/>
        </w:rPr>
        <w:t xml:space="preserve">ých </w:t>
      </w:r>
      <w:r w:rsidR="00772FC6">
        <w:rPr>
          <w:rFonts w:eastAsiaTheme="minorEastAsia"/>
        </w:rPr>
        <w:t xml:space="preserve"> funkc</w:t>
      </w:r>
      <w:r w:rsidR="005D1B63">
        <w:rPr>
          <w:rFonts w:eastAsiaTheme="minorEastAsia"/>
        </w:rPr>
        <w:t>í.</w:t>
      </w:r>
      <w:r w:rsidR="00772FC6">
        <w:rPr>
          <w:rFonts w:eastAsiaTheme="minorEastAsia"/>
        </w:rPr>
        <w:t xml:space="preserve"> </w:t>
      </w:r>
      <w:r w:rsidR="005D1B63">
        <w:rPr>
          <w:rFonts w:eastAsiaTheme="minorEastAsia"/>
        </w:rPr>
        <w:t xml:space="preserve"> </w:t>
      </w:r>
      <w:r w:rsidR="00992184">
        <w:rPr>
          <w:rFonts w:eastAsiaTheme="minorEastAsia"/>
        </w:rPr>
        <w:t>Snahou</w:t>
      </w:r>
      <w:r w:rsidR="005D1B63">
        <w:rPr>
          <w:rFonts w:eastAsiaTheme="minorEastAsia"/>
        </w:rPr>
        <w:t xml:space="preserve"> je, aby pochopili souvislost mezi základním grafem logaritmické funkce a grafy logaritmických funkcí odvozených od grafu základního. </w:t>
      </w:r>
    </w:p>
    <w:p w:rsidR="00941DE1" w:rsidRDefault="00941DE1" w:rsidP="00112A44">
      <w:pPr>
        <w:rPr>
          <w:rFonts w:eastAsiaTheme="minorEastAsia"/>
        </w:rPr>
      </w:pPr>
      <w:r>
        <w:rPr>
          <w:rFonts w:eastAsiaTheme="minorEastAsia"/>
        </w:rPr>
        <w:t>Možnosti použití:</w:t>
      </w:r>
    </w:p>
    <w:p w:rsidR="00112A44" w:rsidRDefault="00112A44" w:rsidP="00112A44">
      <w:pPr>
        <w:rPr>
          <w:rFonts w:eastAsiaTheme="minorEastAsia"/>
        </w:rPr>
      </w:pPr>
      <w:r>
        <w:rPr>
          <w:rFonts w:eastAsiaTheme="minorEastAsia"/>
        </w:rPr>
        <w:t>a) vyučující zobrazuje postupně při výkladu jednotlivé grafy a spolu se studenty formuluje závěr</w:t>
      </w:r>
    </w:p>
    <w:p w:rsidR="00112A44" w:rsidRPr="005D1B63" w:rsidRDefault="00112A44" w:rsidP="00DD5D98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941DE1">
        <w:rPr>
          <w:rFonts w:eastAsiaTheme="minorEastAsia"/>
        </w:rPr>
        <w:t>M</w:t>
      </w:r>
      <w:r>
        <w:rPr>
          <w:rFonts w:eastAsiaTheme="minorEastAsia"/>
        </w:rPr>
        <w:t xml:space="preserve">ateriál je předložen studentům. </w:t>
      </w:r>
      <w:r w:rsidR="00941DE1">
        <w:rPr>
          <w:rFonts w:eastAsiaTheme="minorEastAsia"/>
        </w:rPr>
        <w:t>Upravíme jej tak</w:t>
      </w:r>
      <w:r>
        <w:rPr>
          <w:rFonts w:eastAsiaTheme="minorEastAsia"/>
        </w:rPr>
        <w:t xml:space="preserve">, aby obsahoval pouze přepisy pro funkce. </w:t>
      </w:r>
      <w:r w:rsidR="00941DE1">
        <w:rPr>
          <w:rFonts w:eastAsiaTheme="minorEastAsia"/>
        </w:rPr>
        <w:t xml:space="preserve">Studenti si jej sami vyhodnotí, </w:t>
      </w:r>
      <w:r>
        <w:rPr>
          <w:rFonts w:eastAsiaTheme="minorEastAsia"/>
        </w:rPr>
        <w:t>mohou předpisy měnit a pozorovat, jak se mění grafy funkcí při změně parametrů. Na závěr hodiny vysloví závěr.</w:t>
      </w:r>
      <w:r w:rsidR="005D1B63">
        <w:rPr>
          <w:rFonts w:eastAsiaTheme="minorEastAsia"/>
        </w:rPr>
        <w:t xml:space="preserve"> 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DA4F7B" w:rsidRDefault="00DA4F7B" w:rsidP="00DA4F7B">
      <w:r>
        <w:t>Použité funkce:</w:t>
      </w:r>
    </w:p>
    <w:p w:rsidR="00DA4F7B" w:rsidRDefault="00DA4F7B" w:rsidP="00DA4F7B">
      <w:r>
        <w:t>Plot - vykreslí graf funkce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PlotRange</m:t>
        </m:r>
      </m:oMath>
      <w:r>
        <w:rPr>
          <w:rFonts w:eastAsiaTheme="minorEastAsia"/>
        </w:rPr>
        <w:t xml:space="preserve"> - udává rozsah grafu na ose y</w:t>
      </w:r>
    </w:p>
    <w:p w:rsidR="00DC2D1B" w:rsidRDefault="00DC2D1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 xml:space="preserve"> - popíše osu x, osu y</w:t>
      </w:r>
    </w:p>
    <w:p w:rsidR="00DC2D1B" w:rsidRDefault="00DC2D1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ImageSize</m:t>
        </m:r>
        <m:r>
          <w:rPr>
            <w:rFonts w:ascii="Cambria Math" w:hAnsi="Cambria Math"/>
          </w:rPr>
          <m:t>→500</m:t>
        </m:r>
      </m:oMath>
      <w:r w:rsidR="008350B8">
        <w:rPr>
          <w:rFonts w:eastAsiaTheme="minorEastAsia"/>
        </w:rPr>
        <w:t xml:space="preserve"> - změna měřítka osy x</w:t>
      </w:r>
    </w:p>
    <w:p w:rsidR="00DC2D1B" w:rsidRDefault="00DC2D1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AspectRatio</m:t>
        </m:r>
        <m:r>
          <w:rPr>
            <w:rFonts w:ascii="Cambria Math" w:hAnsi="Cambria Math"/>
          </w:rPr>
          <m:t>→1</m:t>
        </m:r>
      </m:oMath>
      <w:r w:rsidR="008350B8">
        <w:rPr>
          <w:rFonts w:eastAsiaTheme="minorEastAsia"/>
        </w:rPr>
        <w:t xml:space="preserve"> - změna měřítka osy y</w:t>
      </w:r>
    </w:p>
    <w:p w:rsidR="00992184" w:rsidRDefault="00992184" w:rsidP="00DA4F7B">
      <w:pPr>
        <w:rPr>
          <w:rFonts w:eastAsiaTheme="minorEastAsia"/>
        </w:rPr>
      </w:pPr>
      <w:r>
        <w:rPr>
          <w:rFonts w:eastAsiaTheme="minorEastAsia"/>
        </w:rPr>
        <w:t xml:space="preserve">Log - označení logaritmické funkce; zadává se ve tvaru: </w:t>
      </w:r>
      <m:oMath>
        <m:r>
          <w:rPr>
            <w:rFonts w:ascii="Cambria Math" w:eastAsiaTheme="minorEastAsia" w:hAnsi="Cambria Math"/>
          </w:rPr>
          <m:t>Log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základ, x</m:t>
            </m:r>
          </m:e>
        </m:d>
      </m:oMath>
    </w:p>
    <w:p w:rsidR="00923225" w:rsidRDefault="005E3A75" w:rsidP="00923225">
      <w:pPr>
        <w:pStyle w:val="Nadpis1"/>
      </w:pPr>
      <w:r>
        <w:t>Shrnutí</w:t>
      </w:r>
    </w:p>
    <w:p w:rsidR="006173DC" w:rsidRPr="00207CC4" w:rsidRDefault="00207CC4" w:rsidP="00207CC4">
      <w:r>
        <w:t xml:space="preserve">Zobrazení grafů pomocí  WM je názorné, výhodou je možnost změny parametrů funkce a následně okamžitá změna grafu. Doporučuji nechat studenty do sešitu zobrazit grafy a teprve poté ukázat grafy pomocí WM. </w:t>
      </w:r>
    </w:p>
    <w:sectPr w:rsidR="006173DC" w:rsidRPr="00207CC4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19" w:rsidRDefault="006A3419" w:rsidP="00DD5D98">
      <w:pPr>
        <w:spacing w:after="0" w:line="240" w:lineRule="auto"/>
      </w:pPr>
      <w:r>
        <w:separator/>
      </w:r>
    </w:p>
  </w:endnote>
  <w:endnote w:type="continuationSeparator" w:id="0">
    <w:p w:rsidR="006A3419" w:rsidRDefault="006A3419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19" w:rsidRDefault="006A3419" w:rsidP="00DD5D98">
      <w:pPr>
        <w:spacing w:after="0" w:line="240" w:lineRule="auto"/>
      </w:pPr>
      <w:r>
        <w:separator/>
      </w:r>
    </w:p>
  </w:footnote>
  <w:footnote w:type="continuationSeparator" w:id="0">
    <w:p w:rsidR="006A3419" w:rsidRDefault="006A3419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539E1"/>
    <w:rsid w:val="000A55BB"/>
    <w:rsid w:val="000C31C2"/>
    <w:rsid w:val="000D3043"/>
    <w:rsid w:val="00100298"/>
    <w:rsid w:val="00104B10"/>
    <w:rsid w:val="00112A44"/>
    <w:rsid w:val="001B7E39"/>
    <w:rsid w:val="001C027D"/>
    <w:rsid w:val="00207CC4"/>
    <w:rsid w:val="002138FD"/>
    <w:rsid w:val="0029218D"/>
    <w:rsid w:val="00343676"/>
    <w:rsid w:val="003D76E3"/>
    <w:rsid w:val="003F3CEE"/>
    <w:rsid w:val="004C70DC"/>
    <w:rsid w:val="00550E44"/>
    <w:rsid w:val="00557230"/>
    <w:rsid w:val="005D1B63"/>
    <w:rsid w:val="005E3A75"/>
    <w:rsid w:val="006173DC"/>
    <w:rsid w:val="00650990"/>
    <w:rsid w:val="006A3419"/>
    <w:rsid w:val="00732ECA"/>
    <w:rsid w:val="00752154"/>
    <w:rsid w:val="007565E0"/>
    <w:rsid w:val="00772FC6"/>
    <w:rsid w:val="00780214"/>
    <w:rsid w:val="008350B8"/>
    <w:rsid w:val="008668DE"/>
    <w:rsid w:val="008C63BF"/>
    <w:rsid w:val="008F57E1"/>
    <w:rsid w:val="00923225"/>
    <w:rsid w:val="009259BE"/>
    <w:rsid w:val="00941DE1"/>
    <w:rsid w:val="00992184"/>
    <w:rsid w:val="00A328C8"/>
    <w:rsid w:val="00A5035B"/>
    <w:rsid w:val="00AA4A55"/>
    <w:rsid w:val="00B77A93"/>
    <w:rsid w:val="00BF1EBE"/>
    <w:rsid w:val="00DA4F7B"/>
    <w:rsid w:val="00DA63D9"/>
    <w:rsid w:val="00DC2D1B"/>
    <w:rsid w:val="00DD5D98"/>
    <w:rsid w:val="00DE5ABA"/>
    <w:rsid w:val="00EF516C"/>
    <w:rsid w:val="00EF7FC9"/>
    <w:rsid w:val="00F40B6B"/>
    <w:rsid w:val="00F7729A"/>
    <w:rsid w:val="00FE505D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9921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2015-01-24T05:40:00Z</dcterms:created>
  <dcterms:modified xsi:type="dcterms:W3CDTF">2015-01-24T05:40:00Z</dcterms:modified>
</cp:coreProperties>
</file>