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81" w:rsidRDefault="00360681" w:rsidP="00360681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405C0E" w:rsidP="00DD5D98">
            <w:r>
              <w:t>Trojfázová soustava 1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405C0E" w:rsidP="00405C0E">
            <w:proofErr w:type="spellStart"/>
            <w:r>
              <w:t>Trojfazova</w:t>
            </w:r>
            <w:proofErr w:type="spellEnd"/>
            <w:r>
              <w:t xml:space="preserve"> soustava1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405C0E">
        <w:t>Trojfázová soustava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</w:t>
      </w:r>
      <w:r w:rsidR="00405C0E">
        <w:t>předposlední</w:t>
      </w:r>
      <w:r w:rsidR="00463C86">
        <w:t xml:space="preserve">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</w:t>
      </w:r>
      <w:r w:rsidR="00405C0E">
        <w:t>znalosti o střídavých veličinách a rozumět pojmům amplituda, frekvence, fázový posun atd.</w:t>
      </w:r>
      <w:r>
        <w:t xml:space="preserve"> Předpokládá se znalost matematických pojmů </w:t>
      </w:r>
      <w:r w:rsidR="00405C0E">
        <w:t>sinusová (harmonická) funkce, její popis a grafické vyjádření</w:t>
      </w:r>
      <w:r>
        <w:t xml:space="preserve">. </w:t>
      </w:r>
      <w:r w:rsidR="00F3299C">
        <w:t xml:space="preserve">Hlavním cílem je grafické zobrazení průběhů napětí </w:t>
      </w:r>
      <w:r w:rsidR="00DF3E58">
        <w:t>jednofázového a následně trojfázového</w:t>
      </w:r>
      <w:r w:rsidR="00F3299C">
        <w:t xml:space="preserve"> v závislosti na čase</w:t>
      </w:r>
      <w:r w:rsidR="00DF3E58">
        <w:t>.</w:t>
      </w:r>
      <w:r w:rsidR="00F3299C">
        <w:t xml:space="preserve"> Dále je možné sledovat vliv změny parametrů na daný </w:t>
      </w:r>
      <w:r w:rsidR="00DF3E58">
        <w:t>průběh</w:t>
      </w:r>
      <w:r w:rsidR="00F3299C">
        <w:t>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 </w:t>
      </w:r>
      <w:r w:rsidR="00193CFC">
        <w:t xml:space="preserve">napětí </w:t>
      </w:r>
      <w:r w:rsidR="00DF3E58">
        <w:t>(</w:t>
      </w:r>
      <w:r w:rsidR="00193CFC">
        <w:t>proudu</w:t>
      </w:r>
      <w:r w:rsidR="00DF3E58">
        <w:t>)</w:t>
      </w:r>
      <w:r w:rsidR="00193CFC">
        <w:t xml:space="preserve"> </w:t>
      </w:r>
      <w:r w:rsidR="00DF3E58">
        <w:t>a co jej ovlivňuje.</w:t>
      </w:r>
      <w:r w:rsidR="00014795">
        <w:t xml:space="preserve">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Ticks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</w:t>
      </w:r>
      <w:proofErr w:type="spellStart"/>
      <w:r w:rsidR="00E12C69">
        <w:rPr>
          <w:rFonts w:eastAsiaTheme="minorEastAsia"/>
        </w:rPr>
        <w:t>např</w:t>
      </w:r>
      <w:proofErr w:type="spellEnd"/>
      <m:oMath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u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-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*</m:t>
        </m:r>
        <m:r>
          <m:rPr>
            <m:sty m:val="p"/>
          </m:rPr>
          <w:rPr>
            <w:rFonts w:ascii="Cambria Math" w:eastAsiaTheme="minorEastAsia" w:hAnsi="Cambria Math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ω*t+ϕ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E12C69">
        <w:rPr>
          <w:rFonts w:eastAsiaTheme="minorEastAsia"/>
        </w:rPr>
        <w:t>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FF3CE8">
        <w:rPr>
          <w:rFonts w:eastAsiaTheme="minorEastAsia"/>
        </w:rPr>
        <w:t xml:space="preserve"> slouží ke kreslení grafu fun</w:t>
      </w:r>
      <w:r w:rsidR="00A86B65">
        <w:rPr>
          <w:rFonts w:eastAsiaTheme="minorEastAsia"/>
        </w:rPr>
        <w:t>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[u[t],{t,0,2*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"u[V]"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>. Příkaz</w:t>
      </w:r>
      <w:r w:rsidR="00733C3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Ticks</m:t>
        </m:r>
      </m:oMath>
      <w:r w:rsidR="00733C37">
        <w:rPr>
          <w:rFonts w:eastAsiaTheme="minorEastAsia"/>
        </w:rPr>
        <w:t xml:space="preserve"> definuje, které hodnoty mají být zobrazeny na vodorovné ose</w:t>
      </w:r>
      <w:r w:rsidR="00D80431">
        <w:rPr>
          <w:rFonts w:eastAsiaTheme="minorEastAsia"/>
        </w:rPr>
        <w:t>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Příkaz PlotLegends</m:t>
        </m:r>
        <m:r>
          <w:rPr>
            <w:rFonts w:ascii="Cambria Math" w:eastAsiaTheme="minorEastAsia" w:hAnsi="Cambria Math"/>
          </w:rPr>
          <m:t>→</m:t>
        </m:r>
        <m:r>
          <m:rPr>
            <m:nor/>
          </m:rPr>
          <w:rPr>
            <w:rFonts w:ascii="Cambria Math" w:eastAsiaTheme="minorEastAsia" w:hAnsi="Cambria Math"/>
          </w:rPr>
          <m:t>Expressions</m:t>
        </m:r>
        <m:r>
          <m:rPr>
            <m:sty m:val="p"/>
          </m:rPr>
          <w:rPr>
            <w:rFonts w:ascii="Cambria Math" w:eastAsiaTheme="minorEastAsia" w:hAnsi="Cambria Math"/>
          </w:rPr>
          <m:t>"</m:t>
        </m:r>
      </m:oMath>
      <w:r w:rsidR="00733C37">
        <w:rPr>
          <w:rFonts w:eastAsiaTheme="minorEastAsia"/>
        </w:rPr>
        <w:t xml:space="preserve"> </w:t>
      </w:r>
      <w:r w:rsidR="000E5134">
        <w:rPr>
          <w:rFonts w:eastAsiaTheme="minorEastAsia"/>
        </w:rPr>
        <w:t xml:space="preserve"> </w:t>
      </w:r>
      <w:r w:rsidR="00733C37">
        <w:rPr>
          <w:rFonts w:eastAsiaTheme="minorEastAsia"/>
        </w:rPr>
        <w:t>vytvoří legendu pro více grafů.</w:t>
      </w:r>
    </w:p>
    <w:p w:rsidR="00E12C69" w:rsidRPr="00E12C69" w:rsidRDefault="00E12C69" w:rsidP="00A6361E">
      <w:pPr>
        <w:rPr>
          <w:rFonts w:eastAsiaTheme="minorEastAsia"/>
        </w:rPr>
      </w:pPr>
    </w:p>
    <w:p w:rsidR="00B46C4E" w:rsidRPr="00EF7B67" w:rsidRDefault="00B46C4E" w:rsidP="00B46C4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F02352" w:rsidRDefault="00F02352" w:rsidP="00F02352">
      <w:bookmarkStart w:id="0" w:name="_GoBack"/>
      <w:bookmarkEnd w:id="0"/>
      <w:r>
        <w:lastRenderedPageBreak/>
        <w:t>Při ukázkové hodině mělo pro žáky velký význam názornost a přehlednost grafického vyjádření. Další výhoda je, že si žáci mohou rychle ověřit změny parametrů obvodu a jejich vliv na výsledné charakteristiky. Bylo tak dosaženo stanoveného cíle v daném předmětu.</w:t>
      </w:r>
    </w:p>
    <w:p w:rsidR="00923225" w:rsidRDefault="00923225" w:rsidP="00F02352"/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E5134"/>
    <w:rsid w:val="001334C8"/>
    <w:rsid w:val="00193CFC"/>
    <w:rsid w:val="00360681"/>
    <w:rsid w:val="003F3CEE"/>
    <w:rsid w:val="00405C0E"/>
    <w:rsid w:val="00460DD5"/>
    <w:rsid w:val="00463C86"/>
    <w:rsid w:val="005E3A75"/>
    <w:rsid w:val="00650990"/>
    <w:rsid w:val="0069498E"/>
    <w:rsid w:val="00732ECA"/>
    <w:rsid w:val="00733C37"/>
    <w:rsid w:val="00830EA8"/>
    <w:rsid w:val="008F57E1"/>
    <w:rsid w:val="00923225"/>
    <w:rsid w:val="009259BE"/>
    <w:rsid w:val="009E7799"/>
    <w:rsid w:val="00A572E5"/>
    <w:rsid w:val="00A6361E"/>
    <w:rsid w:val="00A86B65"/>
    <w:rsid w:val="00A96BA2"/>
    <w:rsid w:val="00B46C4E"/>
    <w:rsid w:val="00BA3E92"/>
    <w:rsid w:val="00BE339B"/>
    <w:rsid w:val="00C0475F"/>
    <w:rsid w:val="00D27AB6"/>
    <w:rsid w:val="00D80431"/>
    <w:rsid w:val="00DA63D9"/>
    <w:rsid w:val="00DD5D98"/>
    <w:rsid w:val="00DE66D8"/>
    <w:rsid w:val="00DF3E58"/>
    <w:rsid w:val="00E12C69"/>
    <w:rsid w:val="00E633EA"/>
    <w:rsid w:val="00EC35B1"/>
    <w:rsid w:val="00F02352"/>
    <w:rsid w:val="00F3299C"/>
    <w:rsid w:val="00F5550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4</cp:revision>
  <dcterms:created xsi:type="dcterms:W3CDTF">2014-12-25T18:05:00Z</dcterms:created>
  <dcterms:modified xsi:type="dcterms:W3CDTF">2015-01-17T21:02:00Z</dcterms:modified>
</cp:coreProperties>
</file>