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51" w:rsidRDefault="00154951" w:rsidP="00154951">
      <w:pPr>
        <w:pStyle w:val="Bezmezer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475E49">
        <w:rPr>
          <w:rFonts w:asciiTheme="majorHAnsi" w:hAnsiTheme="majorHAnsi"/>
          <w:b/>
          <w:color w:val="1F497D" w:themeColor="text2"/>
          <w:sz w:val="28"/>
          <w:szCs w:val="28"/>
        </w:rPr>
        <w:t>Metodický pokyn</w:t>
      </w:r>
    </w:p>
    <w:p w:rsidR="00732ECA" w:rsidRPr="00DD5D98" w:rsidRDefault="00732ECA" w:rsidP="003F3CEE">
      <w:pPr>
        <w:pStyle w:val="Bezmezer"/>
      </w:pP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BE339B" w:rsidP="00DD5D98">
            <w:r>
              <w:t>Jaroslava Švecová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BE339B" w:rsidP="00DD5D98">
            <w:r>
              <w:t>Základy elektrotechniky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193CFC" w:rsidP="00DD5D98">
            <w:r>
              <w:t>Přechodové jevy v obvodu RL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193CFC" w:rsidP="00FF3CE8">
            <w:proofErr w:type="spellStart"/>
            <w:r>
              <w:t>Prechodove</w:t>
            </w:r>
            <w:proofErr w:type="spellEnd"/>
            <w:r w:rsidR="00BE339B">
              <w:t xml:space="preserve"> jevy</w:t>
            </w:r>
            <w:r>
              <w:t xml:space="preserve"> RL</w:t>
            </w:r>
            <w:r w:rsidR="00BE339B">
              <w:t xml:space="preserve"> – </w:t>
            </w:r>
            <w:proofErr w:type="spellStart"/>
            <w:r>
              <w:t>pripojeni</w:t>
            </w:r>
            <w:proofErr w:type="spellEnd"/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E633EA" w:rsidP="00DD5D98">
      <w:r>
        <w:t xml:space="preserve">Tento materiál je určen pro předmět Základy elektrotechniky 2. roč. (resp. Elektronika). Probíraná látka je </w:t>
      </w:r>
      <w:r w:rsidR="00014795">
        <w:t>„</w:t>
      </w:r>
      <w:r w:rsidR="00193CFC">
        <w:t>Přechodové jevy v obvodu RL</w:t>
      </w:r>
      <w:r w:rsidR="00014795">
        <w:t>“</w:t>
      </w:r>
      <w:r w:rsidR="00463C86">
        <w:t xml:space="preserve">, která </w:t>
      </w:r>
      <w:r w:rsidR="00014795">
        <w:t>je</w:t>
      </w:r>
      <w:r w:rsidR="00463C86">
        <w:t xml:space="preserve"> jako závěrečná kapitola v daném předmětu.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DD5D98" w:rsidRDefault="00EC35B1" w:rsidP="00DD5D98">
      <w:r>
        <w:t xml:space="preserve">Materiál slouží vyučujícím a žákům oboru Elektrotechnika. Žáci by měli mít počáteční seznámení s problematikou přechodových jevů obecně. Předpokládá se znalost matematických pojmů exponenciála, exponenciální funkce, exponenciální rovnice. Žáci nemusejí ještě umět vyřešit </w:t>
      </w:r>
      <w:r w:rsidR="00A572E5">
        <w:t xml:space="preserve">exponenciální rovnici, to za ně vypočítá program Wolfram </w:t>
      </w:r>
      <w:proofErr w:type="spellStart"/>
      <w:r w:rsidR="00A572E5">
        <w:t>Mathematica</w:t>
      </w:r>
      <w:proofErr w:type="spellEnd"/>
      <w:r w:rsidR="00A572E5">
        <w:t>.</w:t>
      </w:r>
      <w:r w:rsidR="00F3299C">
        <w:t xml:space="preserve"> Hlavním cílem je grafické zobrazení průběhů napětí a proudu v závislosti na čase pro daný přechodový jev. Dále je možné sledovat vliv změny parametrů obvodu na daný přechodový jev. První část souboru je určena k demonstrování dané problematiky vyučujícím. Na konci jsou příklady na praktické procvičení určené pro žáky s pomocí vyučujícího.</w:t>
      </w:r>
      <w:r w:rsidR="00014795">
        <w:t xml:space="preserve"> Cílem je, aby žáci získali představu o průběhu </w:t>
      </w:r>
      <w:r w:rsidR="00193CFC">
        <w:t>napětí a proudu na cívce</w:t>
      </w:r>
      <w:r w:rsidR="00014795">
        <w:t xml:space="preserve"> a vlivy n</w:t>
      </w:r>
      <w:r w:rsidR="00193CFC">
        <w:t>a jejich</w:t>
      </w:r>
      <w:r w:rsidR="00014795">
        <w:t xml:space="preserve"> rychlost a velikost. Při ukázce žák použije program Wolfram </w:t>
      </w:r>
      <w:proofErr w:type="spellStart"/>
      <w:r w:rsidR="00014795">
        <w:t>Mathematica</w:t>
      </w:r>
      <w:proofErr w:type="spellEnd"/>
      <w:r w:rsidR="00014795">
        <w:t xml:space="preserve"> pasivně. Při samotném procvičování na příkladech používá</w:t>
      </w:r>
      <w:r w:rsidR="003F3CEE">
        <w:t xml:space="preserve"> </w:t>
      </w:r>
      <w:proofErr w:type="spellStart"/>
      <w:r w:rsidR="00014795">
        <w:t>Mathematicu</w:t>
      </w:r>
      <w:proofErr w:type="spellEnd"/>
      <w:r w:rsidR="00014795">
        <w:t xml:space="preserve"> aktivně.</w:t>
      </w:r>
    </w:p>
    <w:p w:rsidR="00923225" w:rsidRDefault="00923225" w:rsidP="00DD5D98"/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460DD5" w:rsidRDefault="00A6361E" w:rsidP="00A6361E">
      <w:pPr>
        <w:rPr>
          <w:rFonts w:eastAsiaTheme="minorEastAsia"/>
        </w:rPr>
      </w:pPr>
      <w:r>
        <w:t xml:space="preserve">V tomto souboru byly využity příkazy </w:t>
      </w:r>
      <m:oMath>
        <m:r>
          <m:rPr>
            <m:sty m:val="p"/>
          </m:rPr>
          <w:rPr>
            <w:rFonts w:ascii="Cambria Math" w:hAnsi="Cambria Math"/>
          </w:rPr>
          <m:t>Plot</m:t>
        </m:r>
      </m:oMath>
      <w:r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AxesLabel</m:t>
        </m:r>
      </m:oMath>
      <w:r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ImageSize</m:t>
        </m:r>
      </m:oMath>
      <w:r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Manipulate</m:t>
        </m:r>
      </m:oMath>
      <w:r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Row</m:t>
        </m:r>
      </m:oMath>
      <w:r w:rsidR="00460DD5">
        <w:rPr>
          <w:rFonts w:eastAsiaTheme="minorEastAsia"/>
        </w:rPr>
        <w:t>.</w:t>
      </w:r>
      <w:r w:rsidR="00E12C69">
        <w:rPr>
          <w:rFonts w:eastAsiaTheme="minorEastAsia"/>
        </w:rPr>
        <w:t xml:space="preserve"> Nejprve musí být definovaná funkce</w:t>
      </w:r>
      <w:r w:rsidR="00BA3E92">
        <w:rPr>
          <w:rFonts w:eastAsiaTheme="minorEastAsia"/>
        </w:rPr>
        <w:t>,</w:t>
      </w:r>
      <w:r w:rsidR="00E12C69">
        <w:rPr>
          <w:rFonts w:eastAsiaTheme="minorEastAsia"/>
        </w:rPr>
        <w:t xml:space="preserve"> jako např.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hAnsi="Cambria Math"/>
          </w:rPr>
          <m:t>[</m:t>
        </m:r>
        <m:r>
          <m:rPr>
            <m:sty m:val="p"/>
          </m:rPr>
          <w:rPr>
            <w:rFonts w:ascii="Cambria Math" w:hAnsi="Cambria Math"/>
          </w:rPr>
          <m:t>t_</m:t>
        </m:r>
        <m:r>
          <w:rPr>
            <w:rFonts w:ascii="Cambria Math" w:hAnsi="Cambria Math"/>
          </w:rPr>
          <m:t>]=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ⅇ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-t</m:t>
                </m:r>
              </m:num>
              <m:den>
                <m:r>
                  <w:rPr>
                    <w:rFonts w:ascii="Cambria Math" w:hAnsi="Cambria Math"/>
                  </w:rPr>
                  <m:t>τ</m:t>
                </m:r>
              </m:den>
            </m:f>
          </m:sup>
        </m:sSup>
      </m:oMath>
      <w:r w:rsidR="00E12C69">
        <w:rPr>
          <w:rFonts w:eastAsiaTheme="minorEastAsia"/>
        </w:rPr>
        <w:t>, kde t je nezávisle proměnná v následujícím grafu.</w:t>
      </w:r>
      <w:r w:rsidR="00A86B65">
        <w:rPr>
          <w:rFonts w:eastAsiaTheme="minorEastAsia"/>
        </w:rPr>
        <w:t xml:space="preserve"> Příkaz </w:t>
      </w:r>
      <w:r w:rsidR="00A86B65" w:rsidRPr="00A86B65">
        <w:rPr>
          <w:rFonts w:eastAsiaTheme="minorEastAsia"/>
          <w:u w:val="single"/>
        </w:rPr>
        <w:t>Plot</w:t>
      </w:r>
      <w:r w:rsidR="00FF3CE8">
        <w:rPr>
          <w:rFonts w:eastAsiaTheme="minorEastAsia"/>
        </w:rPr>
        <w:t xml:space="preserve"> slouží ke kreslení grafu fun</w:t>
      </w:r>
      <w:r w:rsidR="00A86B65">
        <w:rPr>
          <w:rFonts w:eastAsiaTheme="minorEastAsia"/>
        </w:rPr>
        <w:t>kce. Prvním parametrem v hranaté závorce je název funkce, dalším parametrem je nezávisle proměnná a její dolní a horní mez pro zobrazení grafu, například:</w:t>
      </w:r>
      <m:oMath>
        <m:r>
          <m:rPr>
            <m:sty m:val="p"/>
          </m:rPr>
          <w:rPr>
            <w:rFonts w:ascii="Cambria Math" w:hAnsi="Cambria Math"/>
          </w:rPr>
          <m:t xml:space="preserve"> Plot</m:t>
        </m:r>
        <m:r>
          <w:rPr>
            <w:rFonts w:ascii="Cambria Math" w:hAnsi="Cambria Math"/>
          </w:rPr>
          <m:t>[i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,{t,0,6*τ}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="00A86B65">
        <w:rPr>
          <w:rFonts w:eastAsiaTheme="minorEastAsia"/>
        </w:rPr>
        <w:t>.</w:t>
      </w:r>
      <w:r w:rsidR="00D80431">
        <w:rPr>
          <w:rFonts w:eastAsiaTheme="minorEastAsia"/>
        </w:rPr>
        <w:t xml:space="preserve"> Příkaz </w:t>
      </w:r>
      <m:oMath>
        <m:r>
          <m:rPr>
            <m:sty m:val="p"/>
          </m:rPr>
          <w:rPr>
            <w:rFonts w:ascii="Cambria Math" w:hAnsi="Cambria Math"/>
            <w:u w:val="single"/>
          </w:rPr>
          <m:t>AxesLabel</m:t>
        </m:r>
      </m:oMath>
      <w:r w:rsidR="00D80431">
        <w:rPr>
          <w:rFonts w:eastAsiaTheme="minorEastAsia"/>
        </w:rPr>
        <w:t xml:space="preserve"> slouží k popisu os daného grafu, např. </w:t>
      </w:r>
      <m:oMath>
        <m:r>
          <m:rPr>
            <m:sty m:val="p"/>
          </m:rPr>
          <w:rPr>
            <w:rFonts w:ascii="Cambria Math" w:hAnsi="Cambria Math"/>
          </w:rPr>
          <m:t>AxesLabel</m:t>
        </m:r>
        <m:r>
          <w:rPr>
            <w:rFonts w:ascii="Cambria Math" w:hAnsi="Cambria Math"/>
          </w:rPr>
          <m:t>→{</m:t>
        </m:r>
        <m:r>
          <m:rPr>
            <m:sty m:val="p"/>
          </m:rPr>
          <w:rPr>
            <w:rFonts w:ascii="Cambria Math" w:hAnsi="Cambria Math"/>
          </w:rPr>
          <m:t>"t[s]"</m:t>
        </m:r>
        <m: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"i[A]"</m:t>
        </m:r>
        <m:r>
          <w:rPr>
            <w:rFonts w:ascii="Cambria Math" w:hAnsi="Cambria Math"/>
          </w:rPr>
          <m:t>}</m:t>
        </m:r>
      </m:oMath>
      <w:r w:rsidR="00D80431">
        <w:rPr>
          <w:rFonts w:eastAsiaTheme="minorEastAsia"/>
        </w:rPr>
        <w:t xml:space="preserve">. Příkaz </w:t>
      </w:r>
      <m:oMath>
        <m:r>
          <m:rPr>
            <m:sty m:val="p"/>
          </m:rPr>
          <w:rPr>
            <w:rFonts w:ascii="Cambria Math" w:hAnsi="Cambria Math"/>
          </w:rPr>
          <m:t>ImageSize</m:t>
        </m:r>
        <m:r>
          <w:rPr>
            <w:rFonts w:ascii="Cambria Math" w:hAnsi="Cambria Math"/>
          </w:rPr>
          <m:t>→250</m:t>
        </m:r>
      </m:oMath>
      <w:r w:rsidR="00D80431">
        <w:rPr>
          <w:rFonts w:eastAsiaTheme="minorEastAsia"/>
        </w:rPr>
        <w:t xml:space="preserve"> nastavuje velikost grafu. Příkaz </w:t>
      </w:r>
      <w:proofErr w:type="spellStart"/>
      <w:r w:rsidR="00D80431" w:rsidRPr="00D80431">
        <w:rPr>
          <w:rFonts w:eastAsiaTheme="minorEastAsia"/>
          <w:u w:val="single"/>
        </w:rPr>
        <w:t>Row</w:t>
      </w:r>
      <w:proofErr w:type="spellEnd"/>
      <w:r w:rsidR="00D80431">
        <w:rPr>
          <w:rFonts w:eastAsiaTheme="minorEastAsia"/>
        </w:rPr>
        <w:t xml:space="preserve"> určuje rovnání více grafů do řady, tj. vodorovně. Je možné též použít </w:t>
      </w:r>
      <w:proofErr w:type="spellStart"/>
      <w:r w:rsidR="00D80431">
        <w:rPr>
          <w:rFonts w:eastAsiaTheme="minorEastAsia"/>
        </w:rPr>
        <w:t>Column</w:t>
      </w:r>
      <w:proofErr w:type="spellEnd"/>
      <w:r w:rsidR="00D80431">
        <w:rPr>
          <w:rFonts w:eastAsiaTheme="minorEastAsia"/>
        </w:rPr>
        <w:t>, což způsobí rovnání grafů do sloupce, tj. pod sebe.</w:t>
      </w:r>
      <w:r w:rsidR="000E5134">
        <w:rPr>
          <w:rFonts w:eastAsiaTheme="minorEastAsia"/>
        </w:rPr>
        <w:t xml:space="preserve"> Příkaz </w:t>
      </w:r>
      <m:oMath>
        <m:r>
          <m:rPr>
            <m:sty m:val="p"/>
          </m:rPr>
          <w:rPr>
            <w:rFonts w:ascii="Cambria Math" w:hAnsi="Cambria Math"/>
          </w:rPr>
          <m:t xml:space="preserve">Manipulate </m:t>
        </m:r>
      </m:oMath>
      <w:r w:rsidR="000E5134">
        <w:rPr>
          <w:rFonts w:eastAsiaTheme="minorEastAsia"/>
        </w:rPr>
        <w:t>umožňuje pracovat s dynamickou proměnnou. V našem případě jsme zvolili za dynamickou proměnnou odpor R.</w:t>
      </w:r>
    </w:p>
    <w:p w:rsidR="00E12C69" w:rsidRPr="00E12C69" w:rsidRDefault="00E12C69" w:rsidP="00A6361E">
      <w:pPr>
        <w:rPr>
          <w:rFonts w:eastAsiaTheme="minorEastAsia"/>
        </w:rPr>
      </w:pPr>
    </w:p>
    <w:p w:rsidR="001E765E" w:rsidRPr="00EF7B67" w:rsidRDefault="001E765E" w:rsidP="001E765E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EF7B67">
        <w:rPr>
          <w:rFonts w:asciiTheme="majorHAnsi" w:hAnsiTheme="majorHAnsi"/>
          <w:b/>
          <w:color w:val="1F497D" w:themeColor="text2"/>
          <w:sz w:val="28"/>
          <w:szCs w:val="28"/>
        </w:rPr>
        <w:lastRenderedPageBreak/>
        <w:t>Shrnutí</w:t>
      </w:r>
    </w:p>
    <w:p w:rsidR="00725660" w:rsidRDefault="00725660" w:rsidP="00725660">
      <w:bookmarkStart w:id="0" w:name="_GoBack"/>
      <w:bookmarkEnd w:id="0"/>
      <w:r>
        <w:t>Při ukázkové hodině mělo pro žáky velký význam názornost a přehlednost grafického vyjádření. Další výhoda je, že si žáci mohou rychle ověřit změny parametrů obvodu a jejich vliv na výsledné charakteristiky. Bylo tak dosaženo stanoveného cíle v daném předmětu.</w:t>
      </w:r>
    </w:p>
    <w:p w:rsidR="00923225" w:rsidRDefault="00923225" w:rsidP="00725660"/>
    <w:sectPr w:rsidR="00923225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E1" w:rsidRDefault="008F57E1" w:rsidP="00DD5D98">
      <w:pPr>
        <w:spacing w:after="0" w:line="240" w:lineRule="auto"/>
      </w:pPr>
      <w:r>
        <w:separator/>
      </w:r>
    </w:p>
  </w:endnote>
  <w:endnote w:type="continuationSeparator" w:id="0">
    <w:p w:rsidR="008F57E1" w:rsidRDefault="008F57E1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E1" w:rsidRDefault="008F57E1" w:rsidP="00DD5D98">
      <w:pPr>
        <w:spacing w:after="0" w:line="240" w:lineRule="auto"/>
      </w:pPr>
      <w:r>
        <w:separator/>
      </w:r>
    </w:p>
  </w:footnote>
  <w:footnote w:type="continuationSeparator" w:id="0">
    <w:p w:rsidR="008F57E1" w:rsidRDefault="008F57E1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D98"/>
    <w:rsid w:val="00014795"/>
    <w:rsid w:val="000539E1"/>
    <w:rsid w:val="000E5134"/>
    <w:rsid w:val="00154951"/>
    <w:rsid w:val="00193CFC"/>
    <w:rsid w:val="001E765E"/>
    <w:rsid w:val="003F3CEE"/>
    <w:rsid w:val="00460DD5"/>
    <w:rsid w:val="00463C86"/>
    <w:rsid w:val="005E3A75"/>
    <w:rsid w:val="00650990"/>
    <w:rsid w:val="00725660"/>
    <w:rsid w:val="00732ECA"/>
    <w:rsid w:val="00830EA8"/>
    <w:rsid w:val="008F57E1"/>
    <w:rsid w:val="00923225"/>
    <w:rsid w:val="009259BE"/>
    <w:rsid w:val="009E7799"/>
    <w:rsid w:val="00A572E5"/>
    <w:rsid w:val="00A6361E"/>
    <w:rsid w:val="00A86B65"/>
    <w:rsid w:val="00A96BA2"/>
    <w:rsid w:val="00BA3E92"/>
    <w:rsid w:val="00BE339B"/>
    <w:rsid w:val="00D27AB6"/>
    <w:rsid w:val="00D80431"/>
    <w:rsid w:val="00DA63D9"/>
    <w:rsid w:val="00DD5D98"/>
    <w:rsid w:val="00DE66D8"/>
    <w:rsid w:val="00E12C69"/>
    <w:rsid w:val="00E633EA"/>
    <w:rsid w:val="00EC35B1"/>
    <w:rsid w:val="00F3299C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1F39A-1F2C-4686-A9DB-1B7243B8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E6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ucitel</cp:lastModifiedBy>
  <cp:revision>4</cp:revision>
  <dcterms:created xsi:type="dcterms:W3CDTF">2014-12-25T17:55:00Z</dcterms:created>
  <dcterms:modified xsi:type="dcterms:W3CDTF">2015-01-17T21:02:00Z</dcterms:modified>
</cp:coreProperties>
</file>