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D98" w:rsidRDefault="00DD5D98" w:rsidP="00DD5D98"/>
    <w:p w:rsidR="00732ECA" w:rsidRDefault="00DD5D98" w:rsidP="00046774">
      <w:pPr>
        <w:pStyle w:val="Bezmezer"/>
        <w:jc w:val="center"/>
        <w:rPr>
          <w:b/>
          <w:sz w:val="52"/>
        </w:rPr>
      </w:pPr>
      <w:r w:rsidRPr="00046774">
        <w:rPr>
          <w:b/>
          <w:sz w:val="52"/>
        </w:rPr>
        <w:t>Metodický pokyn</w:t>
      </w:r>
    </w:p>
    <w:p w:rsidR="00046774" w:rsidRPr="00046774" w:rsidRDefault="00046774" w:rsidP="00046774">
      <w:pPr>
        <w:pStyle w:val="Bezmezer"/>
        <w:jc w:val="center"/>
        <w:rPr>
          <w:b/>
          <w:sz w:val="24"/>
        </w:rPr>
      </w:pPr>
    </w:p>
    <w:tbl>
      <w:tblPr>
        <w:tblStyle w:val="Mkatabulky"/>
        <w:tblW w:w="0" w:type="auto"/>
        <w:tblInd w:w="959" w:type="dxa"/>
        <w:tblLook w:val="04A0"/>
      </w:tblPr>
      <w:tblGrid>
        <w:gridCol w:w="3647"/>
        <w:gridCol w:w="3299"/>
      </w:tblGrid>
      <w:tr w:rsidR="00DD5D98" w:rsidTr="00DD5D98">
        <w:tc>
          <w:tcPr>
            <w:tcW w:w="3647" w:type="dxa"/>
          </w:tcPr>
          <w:p w:rsidR="00DD5D98" w:rsidRDefault="00DD5D98" w:rsidP="00DD5D98">
            <w:r>
              <w:t>Projekt</w:t>
            </w:r>
          </w:p>
        </w:tc>
        <w:tc>
          <w:tcPr>
            <w:tcW w:w="3299" w:type="dxa"/>
          </w:tcPr>
          <w:p w:rsidR="00DD5D98" w:rsidRDefault="00DD5D98" w:rsidP="00DD5D98">
            <w:proofErr w:type="gramStart"/>
            <w:r w:rsidRPr="00DD5D98">
              <w:t>CZ .1.07/1.1.36/02.0066</w:t>
            </w:r>
            <w:proofErr w:type="gramEnd"/>
          </w:p>
        </w:tc>
      </w:tr>
      <w:tr w:rsidR="00DD5D98" w:rsidTr="00DD5D98">
        <w:tc>
          <w:tcPr>
            <w:tcW w:w="3647" w:type="dxa"/>
          </w:tcPr>
          <w:p w:rsidR="00DD5D98" w:rsidRDefault="00DD5D98" w:rsidP="00DD5D98">
            <w:r>
              <w:t>Autor</w:t>
            </w:r>
          </w:p>
        </w:tc>
        <w:tc>
          <w:tcPr>
            <w:tcW w:w="3299" w:type="dxa"/>
          </w:tcPr>
          <w:p w:rsidR="00DD5D98" w:rsidRDefault="00046774" w:rsidP="00DD5D98">
            <w:r>
              <w:t>Ladislav Kašpárek</w:t>
            </w:r>
          </w:p>
        </w:tc>
      </w:tr>
      <w:tr w:rsidR="00650990" w:rsidTr="00DD5D98">
        <w:tc>
          <w:tcPr>
            <w:tcW w:w="3647" w:type="dxa"/>
          </w:tcPr>
          <w:p w:rsidR="00650990" w:rsidRDefault="00650990" w:rsidP="00DD5D98">
            <w:r>
              <w:t>Předmět</w:t>
            </w:r>
          </w:p>
        </w:tc>
        <w:tc>
          <w:tcPr>
            <w:tcW w:w="3299" w:type="dxa"/>
          </w:tcPr>
          <w:p w:rsidR="00650990" w:rsidRDefault="00046774" w:rsidP="00DD5D98">
            <w:r>
              <w:t>Programovací metody</w:t>
            </w:r>
          </w:p>
        </w:tc>
      </w:tr>
      <w:tr w:rsidR="00DD5D98" w:rsidTr="00DD5D98">
        <w:tc>
          <w:tcPr>
            <w:tcW w:w="3647" w:type="dxa"/>
          </w:tcPr>
          <w:p w:rsidR="00DD5D98" w:rsidRDefault="00DD5D98" w:rsidP="00DD5D98">
            <w:r>
              <w:t>Výukový materiál téma</w:t>
            </w:r>
          </w:p>
        </w:tc>
        <w:tc>
          <w:tcPr>
            <w:tcW w:w="3299" w:type="dxa"/>
          </w:tcPr>
          <w:p w:rsidR="00DD5D98" w:rsidRDefault="00E45AE7" w:rsidP="00DD5D98">
            <w:r>
              <w:t>Interpolace</w:t>
            </w:r>
          </w:p>
        </w:tc>
      </w:tr>
      <w:tr w:rsidR="00DD5D98" w:rsidTr="00DD5D98">
        <w:tc>
          <w:tcPr>
            <w:tcW w:w="3647" w:type="dxa"/>
          </w:tcPr>
          <w:p w:rsidR="00DD5D98" w:rsidRDefault="00DD5D98" w:rsidP="00DD5D98">
            <w:r>
              <w:t>Výuková materiál soubor</w:t>
            </w:r>
          </w:p>
        </w:tc>
        <w:tc>
          <w:tcPr>
            <w:tcW w:w="3299" w:type="dxa"/>
          </w:tcPr>
          <w:p w:rsidR="00DD5D98" w:rsidRDefault="00E45AE7" w:rsidP="00DD5D98">
            <w:r w:rsidRPr="00E45AE7">
              <w:t>04_</w:t>
            </w:r>
            <w:proofErr w:type="spellStart"/>
            <w:r w:rsidRPr="00E45AE7">
              <w:t>IterpoObec</w:t>
            </w:r>
            <w:r>
              <w:t>.nb</w:t>
            </w:r>
            <w:proofErr w:type="spellEnd"/>
          </w:p>
        </w:tc>
      </w:tr>
    </w:tbl>
    <w:p w:rsidR="00DD5D98" w:rsidRDefault="00DD5D98" w:rsidP="00DD5D98"/>
    <w:p w:rsidR="00DD5D98" w:rsidRDefault="003F3CEE" w:rsidP="003F3CEE">
      <w:pPr>
        <w:pStyle w:val="Nadpis1"/>
      </w:pPr>
      <w:r>
        <w:t>Obsah a vymezení výukového materiálu</w:t>
      </w:r>
      <w:r w:rsidR="000539E1">
        <w:t xml:space="preserve"> (anotace)</w:t>
      </w:r>
    </w:p>
    <w:p w:rsidR="00DD5D98" w:rsidRDefault="00476C8F" w:rsidP="00DD5D98">
      <w:r>
        <w:t>Materiál rozšiřuje a doplňuje učivo o interpolacích</w:t>
      </w:r>
      <w:r w:rsidR="003F3CEE">
        <w:t>.</w:t>
      </w:r>
      <w:r>
        <w:t xml:space="preserve"> </w:t>
      </w:r>
      <w:proofErr w:type="spellStart"/>
      <w:r>
        <w:t>Roršíření</w:t>
      </w:r>
      <w:proofErr w:type="spellEnd"/>
      <w:r>
        <w:t xml:space="preserve"> spočívá v zobecnění interpolační funkce nad rámec polynomu. U periodických funkcí (je-li z povahy úlohy tato informace známa) je vhodné použít funkce sin a cos.</w:t>
      </w:r>
    </w:p>
    <w:p w:rsidR="003F3CEE" w:rsidRDefault="003F3CEE" w:rsidP="003F3CEE">
      <w:pPr>
        <w:pStyle w:val="Nadpis1"/>
      </w:pPr>
      <w:r>
        <w:t>Popis použití ve výuce</w:t>
      </w:r>
      <w:r w:rsidR="00DA63D9">
        <w:t xml:space="preserve"> (didaktická podpora)</w:t>
      </w:r>
    </w:p>
    <w:p w:rsidR="00DD5D98" w:rsidRDefault="007D5783" w:rsidP="00DD5D98">
      <w:r>
        <w:t>Výkladový materiál pro učitele určený k frontální prezentace, pro žáky se jedná o experimentální dokument, pro své pokusy s interpolacemi. Použití goniometrických funkci pro in</w:t>
      </w:r>
      <w:r w:rsidR="00B963FA">
        <w:t>terpolace není bez zajímavosti.</w:t>
      </w:r>
      <w:r w:rsidR="007423C2">
        <w:t xml:space="preserve"> Vhodné je před započetím výkladu připomenout žákům základní znalosti o goniometrických funkcích (stačí cca 10min, periodicita, </w:t>
      </w:r>
      <w:proofErr w:type="spellStart"/>
      <w:r w:rsidR="007423C2">
        <w:t>def</w:t>
      </w:r>
      <w:proofErr w:type="spellEnd"/>
      <w:r w:rsidR="007423C2">
        <w:t>. obor, obor hodnot,…).</w:t>
      </w:r>
    </w:p>
    <w:p w:rsidR="00E07459" w:rsidRDefault="007D5783" w:rsidP="00DD5D98">
      <w:r>
        <w:t xml:space="preserve">Výukový materiál </w:t>
      </w:r>
      <w:r w:rsidR="00B963FA">
        <w:t>sleduje dva cíle:</w:t>
      </w:r>
    </w:p>
    <w:p w:rsidR="00E07459" w:rsidRDefault="00B963FA" w:rsidP="00E07459">
      <w:pPr>
        <w:pStyle w:val="Odstavecseseznamem"/>
        <w:numPr>
          <w:ilvl w:val="0"/>
          <w:numId w:val="1"/>
        </w:numPr>
      </w:pPr>
      <w:r>
        <w:t>rozšířit znalosti žáka o i</w:t>
      </w:r>
      <w:r w:rsidR="00E07459">
        <w:t xml:space="preserve">nterpolace nad rámec polynomů </w:t>
      </w:r>
    </w:p>
    <w:p w:rsidR="00B963FA" w:rsidRDefault="00B963FA" w:rsidP="00E07459">
      <w:pPr>
        <w:pStyle w:val="Odstavecseseznamem"/>
        <w:numPr>
          <w:ilvl w:val="0"/>
          <w:numId w:val="1"/>
        </w:numPr>
      </w:pPr>
      <w:r>
        <w:t xml:space="preserve">rozšířit a prohloubit jeho dovednosti se systémem Wolfram </w:t>
      </w:r>
      <w:proofErr w:type="spellStart"/>
      <w:r>
        <w:t>Mathematica</w:t>
      </w:r>
      <w:proofErr w:type="spellEnd"/>
      <w:r>
        <w:t>.</w:t>
      </w:r>
    </w:p>
    <w:p w:rsidR="00923225" w:rsidRDefault="00923225" w:rsidP="00923225">
      <w:pPr>
        <w:pStyle w:val="Nadpis1"/>
      </w:pPr>
      <w:r>
        <w:t>Technický popis materiálu</w:t>
      </w:r>
      <w:r w:rsidR="009259BE">
        <w:t xml:space="preserve"> (komentář k systému Wolfram </w:t>
      </w:r>
      <w:proofErr w:type="spellStart"/>
      <w:r w:rsidR="009259BE">
        <w:t>Mathematica</w:t>
      </w:r>
      <w:proofErr w:type="spellEnd"/>
      <w:r w:rsidR="009259BE">
        <w:t>)</w:t>
      </w:r>
    </w:p>
    <w:p w:rsidR="00923225" w:rsidRDefault="00476C8F" w:rsidP="00923225">
      <w:r>
        <w:t xml:space="preserve">Při </w:t>
      </w:r>
      <w:r w:rsidR="00414D81">
        <w:t xml:space="preserve">řešení </w:t>
      </w:r>
      <w:proofErr w:type="spellStart"/>
      <w:r w:rsidR="00414D81">
        <w:t>nealgabraických</w:t>
      </w:r>
      <w:proofErr w:type="spellEnd"/>
      <w:r w:rsidR="00414D81">
        <w:t xml:space="preserve"> rovnic jsou použity metody numerického řešení, zejména funkce </w:t>
      </w:r>
      <w:proofErr w:type="spellStart"/>
      <w:r w:rsidR="00414D81">
        <w:t>FindRoot</w:t>
      </w:r>
      <w:proofErr w:type="spellEnd"/>
      <w:r w:rsidR="00414D81">
        <w:t>. Bylo nutné pro nalezení řešení zvýši</w:t>
      </w:r>
      <w:r w:rsidR="007D5783">
        <w:t xml:space="preserve">t počet iterací. Dále jsou ukázky funkce </w:t>
      </w:r>
      <w:proofErr w:type="spellStart"/>
      <w:r w:rsidR="007D5783">
        <w:t>Interpolation</w:t>
      </w:r>
      <w:proofErr w:type="spellEnd"/>
      <w:r w:rsidR="007D5783">
        <w:t xml:space="preserve"> a různých metod interpolace (</w:t>
      </w:r>
      <w:proofErr w:type="spellStart"/>
      <w:r w:rsidR="007D5783">
        <w:t>Spline</w:t>
      </w:r>
      <w:proofErr w:type="spellEnd"/>
      <w:r w:rsidR="007D5783">
        <w:t xml:space="preserve">, </w:t>
      </w:r>
      <w:proofErr w:type="spellStart"/>
      <w:r w:rsidR="007D5783">
        <w:t>Hermite</w:t>
      </w:r>
      <w:proofErr w:type="spellEnd"/>
      <w:r w:rsidR="007D5783">
        <w:t>).</w:t>
      </w:r>
    </w:p>
    <w:p w:rsidR="00923225" w:rsidRDefault="005E3A75" w:rsidP="00923225">
      <w:pPr>
        <w:pStyle w:val="Nadpis1"/>
      </w:pPr>
      <w:r>
        <w:t>Shrnutí</w:t>
      </w:r>
    </w:p>
    <w:p w:rsidR="00923225" w:rsidRDefault="00DF502A" w:rsidP="00DF502A">
      <w:r>
        <w:t xml:space="preserve">Rozšiřující učivo o interpolacích. Je nutné se orientovat v systému </w:t>
      </w:r>
      <w:proofErr w:type="spellStart"/>
      <w:r>
        <w:t>Mathematica</w:t>
      </w:r>
      <w:proofErr w:type="spellEnd"/>
      <w:r>
        <w:t>. Nutný je i dobr</w:t>
      </w:r>
      <w:r w:rsidR="007D5783">
        <w:t>ý</w:t>
      </w:r>
      <w:r>
        <w:t xml:space="preserve"> matematický základ, učivo je vhodné pro 4. Ročníky, kde už žáci mají všechny potřebné znalosti z matematiky.</w:t>
      </w:r>
    </w:p>
    <w:sectPr w:rsidR="00923225" w:rsidSect="00732EC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472" w:rsidRDefault="00713472" w:rsidP="00DD5D98">
      <w:pPr>
        <w:spacing w:after="0" w:line="240" w:lineRule="auto"/>
      </w:pPr>
      <w:r>
        <w:separator/>
      </w:r>
    </w:p>
  </w:endnote>
  <w:endnote w:type="continuationSeparator" w:id="0">
    <w:p w:rsidR="00713472" w:rsidRDefault="00713472" w:rsidP="00DD5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472" w:rsidRDefault="00713472" w:rsidP="00DD5D98">
      <w:pPr>
        <w:spacing w:after="0" w:line="240" w:lineRule="auto"/>
      </w:pPr>
      <w:r>
        <w:separator/>
      </w:r>
    </w:p>
  </w:footnote>
  <w:footnote w:type="continuationSeparator" w:id="0">
    <w:p w:rsidR="00713472" w:rsidRDefault="00713472" w:rsidP="00DD5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D98" w:rsidRDefault="00DD5D98" w:rsidP="00DD5D98">
    <w:pPr>
      <w:pStyle w:val="Zhlav"/>
      <w:jc w:val="center"/>
    </w:pPr>
    <w:r>
      <w:rPr>
        <w:rFonts w:ascii="Courier" w:hAnsi="Courier" w:cs="Courier"/>
        <w:noProof/>
        <w:lang w:eastAsia="cs-CZ"/>
      </w:rPr>
      <w:drawing>
        <wp:inline distT="0" distB="0" distL="0" distR="0">
          <wp:extent cx="4286992" cy="940163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8797" cy="9405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B4F26"/>
    <w:multiLevelType w:val="hybridMultilevel"/>
    <w:tmpl w:val="61AED248"/>
    <w:lvl w:ilvl="0" w:tplc="040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5D98"/>
    <w:rsid w:val="000373BF"/>
    <w:rsid w:val="00046774"/>
    <w:rsid w:val="000539E1"/>
    <w:rsid w:val="002F0D38"/>
    <w:rsid w:val="003705E1"/>
    <w:rsid w:val="003F3CEE"/>
    <w:rsid w:val="00414D81"/>
    <w:rsid w:val="00476C8F"/>
    <w:rsid w:val="005E3A75"/>
    <w:rsid w:val="00650990"/>
    <w:rsid w:val="00713472"/>
    <w:rsid w:val="00732ECA"/>
    <w:rsid w:val="007423C2"/>
    <w:rsid w:val="00777EBC"/>
    <w:rsid w:val="007D5783"/>
    <w:rsid w:val="008F57E1"/>
    <w:rsid w:val="00923225"/>
    <w:rsid w:val="009259BE"/>
    <w:rsid w:val="00A715A2"/>
    <w:rsid w:val="00AE3DFE"/>
    <w:rsid w:val="00B963FA"/>
    <w:rsid w:val="00D40B1A"/>
    <w:rsid w:val="00DA63D9"/>
    <w:rsid w:val="00DD5D98"/>
    <w:rsid w:val="00DF502A"/>
    <w:rsid w:val="00E07459"/>
    <w:rsid w:val="00E2014D"/>
    <w:rsid w:val="00E45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2ECA"/>
  </w:style>
  <w:style w:type="paragraph" w:styleId="Nadpis1">
    <w:name w:val="heading 1"/>
    <w:basedOn w:val="Normln"/>
    <w:next w:val="Normln"/>
    <w:link w:val="Nadpis1Char"/>
    <w:uiPriority w:val="9"/>
    <w:qFormat/>
    <w:rsid w:val="003F3C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D5D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DD5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D5D98"/>
  </w:style>
  <w:style w:type="paragraph" w:styleId="Zpat">
    <w:name w:val="footer"/>
    <w:basedOn w:val="Normln"/>
    <w:link w:val="ZpatChar"/>
    <w:uiPriority w:val="99"/>
    <w:semiHidden/>
    <w:unhideWhenUsed/>
    <w:rsid w:val="00DD5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D5D98"/>
  </w:style>
  <w:style w:type="character" w:customStyle="1" w:styleId="MathematicaFormatStandardForm">
    <w:name w:val="MathematicaFormatStandardForm"/>
    <w:uiPriority w:val="99"/>
    <w:rsid w:val="00DD5D98"/>
    <w:rPr>
      <w:rFonts w:ascii="Courier" w:hAnsi="Courier" w:cs="Courie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5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5D98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F3C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3F3CE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074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223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2014-06-23T21:12:00Z</dcterms:created>
  <dcterms:modified xsi:type="dcterms:W3CDTF">2014-06-24T10:45:00Z</dcterms:modified>
</cp:coreProperties>
</file>