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E15" w:rsidRPr="00A44E15" w:rsidRDefault="00A44E15" w:rsidP="00A44E15">
      <w:pPr>
        <w:pStyle w:val="Nadpis1"/>
        <w:jc w:val="center"/>
        <w:rPr>
          <w:sz w:val="36"/>
        </w:rPr>
      </w:pPr>
      <w:r w:rsidRPr="003065FB">
        <w:rPr>
          <w:sz w:val="36"/>
        </w:rPr>
        <w:t>Metodický pokyn</w:t>
      </w:r>
    </w:p>
    <w:tbl>
      <w:tblPr>
        <w:tblStyle w:val="Mkatabulky"/>
        <w:tblpPr w:leftFromText="141" w:rightFromText="141" w:vertAnchor="text" w:horzAnchor="margin" w:tblpXSpec="center" w:tblpY="126"/>
        <w:tblW w:w="0" w:type="auto"/>
        <w:tblLook w:val="04A0" w:firstRow="1" w:lastRow="0" w:firstColumn="1" w:lastColumn="0" w:noHBand="0" w:noVBand="1"/>
      </w:tblPr>
      <w:tblGrid>
        <w:gridCol w:w="3647"/>
        <w:gridCol w:w="3299"/>
      </w:tblGrid>
      <w:tr w:rsidR="00A44E15" w:rsidRPr="004E121C" w:rsidTr="00A44E15">
        <w:tc>
          <w:tcPr>
            <w:tcW w:w="3647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 w:rsidRPr="004E121C">
              <w:rPr>
                <w:rFonts w:ascii="Calibri" w:eastAsia="Calibri" w:hAnsi="Calibri" w:cs="Times New Roman"/>
              </w:rPr>
              <w:t>Projekt</w:t>
            </w:r>
          </w:p>
        </w:tc>
        <w:tc>
          <w:tcPr>
            <w:tcW w:w="3299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proofErr w:type="gramStart"/>
            <w:r w:rsidRPr="004E121C">
              <w:rPr>
                <w:rFonts w:ascii="Calibri" w:eastAsia="Calibri" w:hAnsi="Calibri" w:cs="Times New Roman"/>
              </w:rPr>
              <w:t>CZ .1.07/1.1.36/02.0066</w:t>
            </w:r>
            <w:proofErr w:type="gramEnd"/>
          </w:p>
        </w:tc>
      </w:tr>
      <w:tr w:rsidR="00A44E15" w:rsidRPr="004E121C" w:rsidTr="00A44E15">
        <w:tc>
          <w:tcPr>
            <w:tcW w:w="3647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 w:rsidRPr="004E121C">
              <w:rPr>
                <w:rFonts w:ascii="Calibri" w:eastAsia="Calibri" w:hAnsi="Calibri" w:cs="Times New Roman"/>
              </w:rPr>
              <w:t>Autor</w:t>
            </w:r>
          </w:p>
        </w:tc>
        <w:tc>
          <w:tcPr>
            <w:tcW w:w="3299" w:type="dxa"/>
          </w:tcPr>
          <w:p w:rsidR="00A44E15" w:rsidRPr="004E121C" w:rsidRDefault="00D458C1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Ing. Pavel </w:t>
            </w:r>
            <w:proofErr w:type="spellStart"/>
            <w:r>
              <w:rPr>
                <w:rFonts w:ascii="Calibri" w:eastAsia="Calibri" w:hAnsi="Calibri" w:cs="Times New Roman"/>
              </w:rPr>
              <w:t>Florík</w:t>
            </w:r>
            <w:proofErr w:type="spellEnd"/>
          </w:p>
        </w:tc>
      </w:tr>
      <w:tr w:rsidR="00A44E15" w:rsidRPr="004E121C" w:rsidTr="00A44E15">
        <w:tc>
          <w:tcPr>
            <w:tcW w:w="3647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 w:rsidRPr="004E121C">
              <w:rPr>
                <w:rFonts w:ascii="Calibri" w:eastAsia="Calibri" w:hAnsi="Calibri" w:cs="Times New Roman"/>
              </w:rPr>
              <w:t>Předmět</w:t>
            </w:r>
          </w:p>
        </w:tc>
        <w:tc>
          <w:tcPr>
            <w:tcW w:w="3299" w:type="dxa"/>
          </w:tcPr>
          <w:p w:rsidR="00A44E15" w:rsidRPr="004E121C" w:rsidRDefault="00D458C1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Mechanika</w:t>
            </w:r>
          </w:p>
        </w:tc>
      </w:tr>
      <w:tr w:rsidR="00A44E15" w:rsidRPr="004E121C" w:rsidTr="00A44E15">
        <w:tc>
          <w:tcPr>
            <w:tcW w:w="3647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 w:rsidRPr="004E121C">
              <w:rPr>
                <w:rFonts w:ascii="Calibri" w:eastAsia="Calibri" w:hAnsi="Calibri" w:cs="Times New Roman"/>
              </w:rPr>
              <w:t>Výukový materiál téma</w:t>
            </w:r>
          </w:p>
        </w:tc>
        <w:tc>
          <w:tcPr>
            <w:tcW w:w="3299" w:type="dxa"/>
          </w:tcPr>
          <w:p w:rsidR="00A44E15" w:rsidRPr="00662B61" w:rsidRDefault="00D458C1" w:rsidP="00D458C1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proofErr w:type="gramStart"/>
            <w:r>
              <w:t>Namáhaní  ohybem</w:t>
            </w:r>
            <w:proofErr w:type="gramEnd"/>
          </w:p>
        </w:tc>
      </w:tr>
      <w:tr w:rsidR="00A44E15" w:rsidRPr="004E121C" w:rsidTr="00A44E15">
        <w:tc>
          <w:tcPr>
            <w:tcW w:w="3647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Výukový</w:t>
            </w:r>
            <w:r w:rsidRPr="004E121C">
              <w:rPr>
                <w:rFonts w:ascii="Calibri" w:eastAsia="Calibri" w:hAnsi="Calibri" w:cs="Times New Roman"/>
              </w:rPr>
              <w:t xml:space="preserve"> materiál soubor</w:t>
            </w:r>
          </w:p>
        </w:tc>
        <w:tc>
          <w:tcPr>
            <w:tcW w:w="3299" w:type="dxa"/>
          </w:tcPr>
          <w:p w:rsidR="00A44E15" w:rsidRPr="004E121C" w:rsidRDefault="002D4794" w:rsidP="002D4794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Ohyb od  spojitého zatížení –příklad č.1</w:t>
            </w:r>
            <w:r w:rsidR="00D458C1">
              <w:rPr>
                <w:rFonts w:ascii="Calibri" w:eastAsia="Calibri" w:hAnsi="Calibri" w:cs="Times New Roman"/>
              </w:rPr>
              <w:t xml:space="preserve"> </w:t>
            </w:r>
            <w:bookmarkStart w:id="0" w:name="_GoBack"/>
            <w:bookmarkEnd w:id="0"/>
          </w:p>
        </w:tc>
      </w:tr>
    </w:tbl>
    <w:p w:rsidR="00A44E15" w:rsidRDefault="00A44E15" w:rsidP="0010548C"/>
    <w:p w:rsidR="00A44E15" w:rsidRDefault="00A44E15" w:rsidP="0010548C"/>
    <w:p w:rsidR="00A44E15" w:rsidRDefault="00A44E15" w:rsidP="0010548C"/>
    <w:p w:rsidR="00A44E15" w:rsidRDefault="00A44E15" w:rsidP="0010548C"/>
    <w:p w:rsidR="00A44E15" w:rsidRPr="00A44E15" w:rsidRDefault="00A44E15" w:rsidP="00A44E15">
      <w:pPr>
        <w:pStyle w:val="Bezmezer"/>
        <w:rPr>
          <w:rFonts w:ascii="Arial" w:hAnsi="Arial" w:cs="Arial"/>
          <w:sz w:val="32"/>
          <w:szCs w:val="32"/>
        </w:rPr>
      </w:pPr>
      <w:r w:rsidRPr="00A44E15">
        <w:rPr>
          <w:rFonts w:ascii="Arial" w:hAnsi="Arial" w:cs="Arial"/>
          <w:sz w:val="32"/>
          <w:szCs w:val="32"/>
        </w:rPr>
        <w:t>Obsah a vymezení výukového materiálu (anotace)</w:t>
      </w:r>
    </w:p>
    <w:p w:rsidR="00D458C1" w:rsidRPr="003E697D" w:rsidRDefault="00D458C1" w:rsidP="00D458C1">
      <w:r>
        <w:t>Tento učební materiál doplňuje výklad vztahující se k </w:t>
      </w:r>
      <w:proofErr w:type="gramStart"/>
      <w:r>
        <w:t>namáhaní</w:t>
      </w:r>
      <w:proofErr w:type="gramEnd"/>
      <w:r>
        <w:t xml:space="preserve"> nosníků napětím v ohybu způsobeným spojitým zatížením. Učitel pomocí něj demonstruje závislost hodnoty ohybového momentu / </w:t>
      </w:r>
      <w:proofErr w:type="spellStart"/>
      <w:r>
        <w:t>Mo</w:t>
      </w:r>
      <w:proofErr w:type="spellEnd"/>
      <w:r>
        <w:t xml:space="preserve"> / na velikosti spojitého zatížení a na místech jejich působení. Žáci díky tomuto materiálu </w:t>
      </w:r>
      <w:proofErr w:type="gramStart"/>
      <w:r>
        <w:t>pochopí co</w:t>
      </w:r>
      <w:proofErr w:type="gramEnd"/>
      <w:r>
        <w:t xml:space="preserve"> způsobuje vznik </w:t>
      </w:r>
      <w:proofErr w:type="spellStart"/>
      <w:r>
        <w:t>Mo</w:t>
      </w:r>
      <w:proofErr w:type="spellEnd"/>
      <w:r>
        <w:t xml:space="preserve"> a jak lze  stanovit jeho velikost a příslušné rozměry nosníku v závislosti na pevnosti materiálu.</w:t>
      </w:r>
    </w:p>
    <w:p w:rsidR="00A44E15" w:rsidRPr="00A44E15" w:rsidRDefault="00A44E15" w:rsidP="00A44E15">
      <w:pPr>
        <w:pStyle w:val="Bezmezer"/>
        <w:rPr>
          <w:rFonts w:ascii="Arial" w:hAnsi="Arial" w:cs="Arial"/>
          <w:sz w:val="32"/>
          <w:szCs w:val="32"/>
        </w:rPr>
      </w:pPr>
      <w:r w:rsidRPr="00A44E15">
        <w:rPr>
          <w:rFonts w:ascii="Arial" w:hAnsi="Arial" w:cs="Arial"/>
          <w:sz w:val="32"/>
          <w:szCs w:val="32"/>
        </w:rPr>
        <w:t>Popis použití ve výuce (didaktická podpora)</w:t>
      </w:r>
    </w:p>
    <w:p w:rsidR="00D458C1" w:rsidRDefault="00D458C1" w:rsidP="00D458C1">
      <w:r>
        <w:t xml:space="preserve">Materiály slouží k osvojení a pochopení základních pevnostních výpočtů používaných v pružnosti-pevnosti, což je cílem těchto hodin. Žáci se naučí pomocí  metody řezu, grafického zobrazení posouvajících sil a </w:t>
      </w:r>
      <w:proofErr w:type="spellStart"/>
      <w:r>
        <w:t>Schwedlerovy</w:t>
      </w:r>
      <w:proofErr w:type="spellEnd"/>
      <w:r>
        <w:t xml:space="preserve"> věty určit velikost maximálního ohybového </w:t>
      </w:r>
      <w:proofErr w:type="gramStart"/>
      <w:r>
        <w:t>momentu , kterážto</w:t>
      </w:r>
      <w:proofErr w:type="gramEnd"/>
      <w:r>
        <w:t xml:space="preserve"> hodnota je určující pro další pevnostní výpočty a určení výsledných rozměrů zatěžovaných prvků. Dále se prohloubí znalosti z mechaniky Statiky – první ročník SPŠ : </w:t>
      </w:r>
      <w:proofErr w:type="gramStart"/>
      <w:r>
        <w:t>použití  a tvorba</w:t>
      </w:r>
      <w:proofErr w:type="gramEnd"/>
      <w:r>
        <w:t xml:space="preserve"> konkrétních rovnic rovnováhy a též grafická orientace v dané problematice. Což zejména ze začátku probírané látky dělá žákům velké potíže. Žáci používají WM zprvu pasivně tak, aby si mohli vyzkoušet a „osahat“ práci s tímto programem. Pro aktivní použití slouží příklady k procvičení. Ve výukových programech mohou žáci lehce měnit zadané hodnoty / velikost a rozsah spojitého </w:t>
      </w:r>
      <w:proofErr w:type="gramStart"/>
      <w:r>
        <w:t>zatížení  a rozměry</w:t>
      </w:r>
      <w:proofErr w:type="gramEnd"/>
      <w:r>
        <w:t xml:space="preserve"> součásti / a vyzkoušet si tak velice rychle, jak se mění výsledné rozměry zatěžovaných prvků. Na což dále navazuje práce se Strojnickými </w:t>
      </w:r>
      <w:proofErr w:type="gramStart"/>
      <w:r>
        <w:t>tabulkami ve</w:t>
      </w:r>
      <w:proofErr w:type="gramEnd"/>
      <w:r>
        <w:t xml:space="preserve"> kterých žáci hledají výsledné rozměry daných či volených profilů a díky  WM jsou schopni vyzkoušet si sami daleko více variant.</w:t>
      </w:r>
    </w:p>
    <w:p w:rsidR="00642450" w:rsidRDefault="00642450" w:rsidP="00642450"/>
    <w:p w:rsidR="00573D9D" w:rsidRDefault="00573D9D" w:rsidP="00573D9D">
      <w:pPr>
        <w:pStyle w:val="Bezmezer"/>
      </w:pPr>
    </w:p>
    <w:p w:rsidR="00A44E15" w:rsidRPr="00A44E15" w:rsidRDefault="00732255" w:rsidP="00573D9D">
      <w:pPr>
        <w:pStyle w:val="Nadpis1"/>
      </w:pPr>
      <w:r>
        <w:t>T</w:t>
      </w:r>
      <w:r w:rsidR="00A44E15" w:rsidRPr="00A44E15">
        <w:t xml:space="preserve">echnický popis materiálu (komentář k systému Wolfram </w:t>
      </w:r>
      <w:proofErr w:type="spellStart"/>
      <w:r w:rsidR="00A44E15" w:rsidRPr="00A44E15">
        <w:t>Mathematica</w:t>
      </w:r>
      <w:proofErr w:type="spellEnd"/>
      <w:r w:rsidR="00A44E15" w:rsidRPr="00A44E15">
        <w:t>)</w:t>
      </w:r>
    </w:p>
    <w:p w:rsidR="00D458C1" w:rsidRDefault="00D458C1" w:rsidP="00D458C1">
      <w:r>
        <w:t xml:space="preserve">WM umožňuje zobrazení hodnot reakčních </w:t>
      </w:r>
      <w:proofErr w:type="gramStart"/>
      <w:r>
        <w:t>sil , maximálního</w:t>
      </w:r>
      <w:proofErr w:type="gramEnd"/>
      <w:r>
        <w:t xml:space="preserve"> ohybového momentu / </w:t>
      </w:r>
      <w:proofErr w:type="spellStart"/>
      <w:r>
        <w:t>Momax</w:t>
      </w:r>
      <w:proofErr w:type="spellEnd"/>
      <w:r>
        <w:t xml:space="preserve"> / a  modulu průřezu v ohybu / </w:t>
      </w:r>
      <w:proofErr w:type="spellStart"/>
      <w:r>
        <w:t>Wo</w:t>
      </w:r>
      <w:proofErr w:type="spellEnd"/>
      <w:r>
        <w:t xml:space="preserve"> / v závislosti na :</w:t>
      </w:r>
    </w:p>
    <w:p w:rsidR="00D458C1" w:rsidRDefault="00D458C1" w:rsidP="00D458C1">
      <w:pPr>
        <w:pStyle w:val="Odstavecseseznamem"/>
        <w:numPr>
          <w:ilvl w:val="0"/>
          <w:numId w:val="1"/>
        </w:numPr>
      </w:pPr>
      <w:r>
        <w:t>Velikosti spojitého zatížení a jeho působišti</w:t>
      </w:r>
    </w:p>
    <w:p w:rsidR="00D458C1" w:rsidRDefault="00D458C1" w:rsidP="00D458C1">
      <w:pPr>
        <w:pStyle w:val="Odstavecseseznamem"/>
        <w:numPr>
          <w:ilvl w:val="0"/>
          <w:numId w:val="1"/>
        </w:numPr>
      </w:pPr>
      <w:proofErr w:type="gramStart"/>
      <w:r>
        <w:t>Rozměrech</w:t>
      </w:r>
      <w:proofErr w:type="gramEnd"/>
      <w:r>
        <w:t xml:space="preserve"> součásti</w:t>
      </w:r>
    </w:p>
    <w:p w:rsidR="00D458C1" w:rsidRDefault="00D458C1" w:rsidP="00D458C1">
      <w:pPr>
        <w:pStyle w:val="Odstavecseseznamem"/>
        <w:numPr>
          <w:ilvl w:val="0"/>
          <w:numId w:val="1"/>
        </w:numPr>
      </w:pPr>
      <w:r>
        <w:t xml:space="preserve">Mechanických </w:t>
      </w:r>
      <w:proofErr w:type="gramStart"/>
      <w:r>
        <w:t>hodnotách</w:t>
      </w:r>
      <w:proofErr w:type="gramEnd"/>
      <w:r>
        <w:t xml:space="preserve"> daného materiálu / dovolené napětí v ohybu /</w:t>
      </w:r>
    </w:p>
    <w:p w:rsidR="00D458C1" w:rsidRDefault="00D458C1" w:rsidP="00D458C1">
      <w:r>
        <w:t xml:space="preserve">Postup řešení využívá poznatky z prvního ročníku a nutí žáky používat a </w:t>
      </w:r>
      <w:proofErr w:type="gramStart"/>
      <w:r>
        <w:t>opakovat   známé</w:t>
      </w:r>
      <w:proofErr w:type="gramEnd"/>
      <w:r>
        <w:t xml:space="preserve">  postupy. Součásti dané konkrétními </w:t>
      </w:r>
      <w:proofErr w:type="gramStart"/>
      <w:r>
        <w:t>rozměry a  pevnostními</w:t>
      </w:r>
      <w:proofErr w:type="gramEnd"/>
      <w:r>
        <w:t xml:space="preserve">  podmínkami  jsou vždy zatíženy vnějšími silami, jejichž hodnotu známe / v dalších cvičeních je možno tyto hodnoty libovolně měnit /. </w:t>
      </w:r>
      <w:proofErr w:type="gramStart"/>
      <w:r>
        <w:t>Pomocí  programu</w:t>
      </w:r>
      <w:proofErr w:type="gramEnd"/>
      <w:r>
        <w:t xml:space="preserve"> WM  stanovíme velikost reakčních sil pomocí příkazů </w:t>
      </w:r>
      <w:proofErr w:type="spellStart"/>
      <w:r>
        <w:t>ClearAll</w:t>
      </w:r>
      <w:proofErr w:type="spellEnd"/>
      <w:r>
        <w:t xml:space="preserve"> a </w:t>
      </w:r>
      <w:proofErr w:type="spellStart"/>
      <w:r>
        <w:t>Solve</w:t>
      </w:r>
      <w:proofErr w:type="spellEnd"/>
      <w:r>
        <w:t xml:space="preserve">, případně </w:t>
      </w:r>
      <w:proofErr w:type="spellStart"/>
      <w:r>
        <w:t>NSolve</w:t>
      </w:r>
      <w:proofErr w:type="spellEnd"/>
      <w:r>
        <w:t xml:space="preserve">, vypočte program WM jejich hodnoty. Největší problém je často sestavit správné znění rovnic pro </w:t>
      </w:r>
      <w:proofErr w:type="spellStart"/>
      <w:r>
        <w:t>Momax</w:t>
      </w:r>
      <w:proofErr w:type="spellEnd"/>
      <w:r>
        <w:t xml:space="preserve"> v místě řezu. Žáci často zapomínají, že pokud je za rovinou řezu část spojitého zatížení působí toto zatížení samozřejm</w:t>
      </w:r>
      <w:r w:rsidR="00607588">
        <w:t>ě</w:t>
      </w:r>
      <w:r>
        <w:t xml:space="preserve"> dále, ovšem </w:t>
      </w:r>
      <w:proofErr w:type="gramStart"/>
      <w:r>
        <w:t>pouze  v rozsahu</w:t>
      </w:r>
      <w:proofErr w:type="gramEnd"/>
      <w:r>
        <w:t xml:space="preserve"> daném rovinou řezu.  Dále za pomoci stejných </w:t>
      </w:r>
      <w:proofErr w:type="gramStart"/>
      <w:r>
        <w:t>příkazů  s použitím</w:t>
      </w:r>
      <w:proofErr w:type="gramEnd"/>
      <w:r>
        <w:t xml:space="preserve"> pevnostních rovnic stanovíme  </w:t>
      </w:r>
      <w:proofErr w:type="spellStart"/>
      <w:r>
        <w:t>Wo</w:t>
      </w:r>
      <w:proofErr w:type="spellEnd"/>
      <w:r>
        <w:t xml:space="preserve"> a  Za pomoci Strojnických Tabulek najdeme hledaný rozměr – to je jediná část kde se nepoužije WM . I když se použití WM může jevit z hlediska jeho možností jako, nevyužité musíme si uvědomit, že v této oblasti mechaniky toho vlastně více nepotřebujeme, hledáme rozměr a ten jsme našli, tečka. Kromě toho žáci ještě musí ovládnout grafické znázornění posouvajících sil, což je občas běh na dlouhou vzdálenost.</w:t>
      </w:r>
    </w:p>
    <w:p w:rsidR="00D458C1" w:rsidRDefault="00A44E15" w:rsidP="00D458C1">
      <w:pPr>
        <w:rPr>
          <w:rFonts w:ascii="Arial" w:hAnsi="Arial" w:cs="Arial"/>
          <w:sz w:val="32"/>
          <w:szCs w:val="32"/>
        </w:rPr>
      </w:pPr>
      <w:r w:rsidRPr="00A44E15">
        <w:rPr>
          <w:rFonts w:ascii="Arial" w:hAnsi="Arial" w:cs="Arial"/>
          <w:sz w:val="32"/>
          <w:szCs w:val="32"/>
        </w:rPr>
        <w:t>Shrnutí</w:t>
      </w:r>
    </w:p>
    <w:p w:rsidR="00D458C1" w:rsidRPr="00A96B85" w:rsidRDefault="00D458C1" w:rsidP="00D458C1">
      <w:r w:rsidRPr="00D458C1">
        <w:t xml:space="preserve"> </w:t>
      </w:r>
      <w:r>
        <w:t xml:space="preserve">Je třeba, aby se žáci orientovali v problematice tvorby rovnic rovnováhy nejen pro určení reakčních sil, ale též při tvorbě rovnic rovnováhy k místu řezu. Tato část výpočtu je obecně neměnná a musí se </w:t>
      </w:r>
      <w:proofErr w:type="gramStart"/>
      <w:r>
        <w:t>provést  správně</w:t>
      </w:r>
      <w:proofErr w:type="gramEnd"/>
      <w:r>
        <w:t xml:space="preserve"> již jednou zažitými postupy. Výpočet finálního rozměru součásti potom již není pro žáky velký problém. Dále je třeba věnovat velkou pozornost použitým jednotkám, což žákům činí trvalé potíže a též vypočtené hodnoty nemusí poté odpovídat skutečnosti, neboť WM nepracuje s jednotkami tak, jak jsme zvyklí my při </w:t>
      </w:r>
      <w:r>
        <w:lastRenderedPageBreak/>
        <w:t>běžných výpočtech s tužkou a papírem. WM nám ovšem poskytuje výhodu rychle propočítat součást se změnou velikosti zatížení, což by žáci mohli ocenit i v praktických cvičeních ve Stavbě a provozu strojů.</w:t>
      </w:r>
      <w:r w:rsidR="005D668C">
        <w:t xml:space="preserve"> Z praktických poznatků z výuky je třeba říci, že žákům obecně tato látka dělá při výpočtech značné problémy, což samozřejmě nezmění ani užití WM. Prostě je potřeba počítat a zase počítat.</w:t>
      </w:r>
    </w:p>
    <w:p w:rsidR="00A44E15" w:rsidRDefault="00A44E15" w:rsidP="00A44E15">
      <w:pPr>
        <w:pStyle w:val="Bezmezer"/>
        <w:rPr>
          <w:rFonts w:ascii="Arial" w:hAnsi="Arial" w:cs="Arial"/>
          <w:sz w:val="32"/>
          <w:szCs w:val="32"/>
        </w:rPr>
      </w:pPr>
    </w:p>
    <w:sectPr w:rsidR="00A44E15" w:rsidSect="008328F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744" w:rsidRDefault="00FB3744" w:rsidP="009F4736">
      <w:pPr>
        <w:spacing w:line="240" w:lineRule="auto"/>
      </w:pPr>
      <w:r>
        <w:separator/>
      </w:r>
    </w:p>
  </w:endnote>
  <w:endnote w:type="continuationSeparator" w:id="0">
    <w:p w:rsidR="00FB3744" w:rsidRDefault="00FB3744" w:rsidP="009F47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744" w:rsidRDefault="00FB3744" w:rsidP="009F4736">
      <w:pPr>
        <w:spacing w:line="240" w:lineRule="auto"/>
      </w:pPr>
      <w:r>
        <w:separator/>
      </w:r>
    </w:p>
  </w:footnote>
  <w:footnote w:type="continuationSeparator" w:id="0">
    <w:p w:rsidR="00FB3744" w:rsidRDefault="00FB3744" w:rsidP="009F47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736" w:rsidRDefault="009F4736">
    <w:pPr>
      <w:pStyle w:val="Zhlav"/>
    </w:pPr>
    <w:r>
      <w:rPr>
        <w:rFonts w:ascii="Courier" w:hAnsi="Courier" w:cs="Courier"/>
        <w:noProof/>
        <w:lang w:eastAsia="cs-CZ"/>
      </w:rPr>
      <w:drawing>
        <wp:inline distT="0" distB="0" distL="0" distR="0">
          <wp:extent cx="4286992" cy="940163"/>
          <wp:effectExtent l="1905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797" cy="940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9379A"/>
    <w:multiLevelType w:val="hybridMultilevel"/>
    <w:tmpl w:val="C20A8BC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B6"/>
    <w:rsid w:val="00031F54"/>
    <w:rsid w:val="00040D62"/>
    <w:rsid w:val="0010548C"/>
    <w:rsid w:val="002D4794"/>
    <w:rsid w:val="00300D47"/>
    <w:rsid w:val="003139B6"/>
    <w:rsid w:val="003E697D"/>
    <w:rsid w:val="00573D9D"/>
    <w:rsid w:val="005D668C"/>
    <w:rsid w:val="005D6B98"/>
    <w:rsid w:val="00607588"/>
    <w:rsid w:val="00612355"/>
    <w:rsid w:val="00642450"/>
    <w:rsid w:val="00662B61"/>
    <w:rsid w:val="00674E71"/>
    <w:rsid w:val="00693CF1"/>
    <w:rsid w:val="006D1DC9"/>
    <w:rsid w:val="00732255"/>
    <w:rsid w:val="007606EE"/>
    <w:rsid w:val="008328FB"/>
    <w:rsid w:val="008B282A"/>
    <w:rsid w:val="009F4736"/>
    <w:rsid w:val="00A44E15"/>
    <w:rsid w:val="00A60B39"/>
    <w:rsid w:val="00A96B85"/>
    <w:rsid w:val="00AA1541"/>
    <w:rsid w:val="00B30932"/>
    <w:rsid w:val="00C073AD"/>
    <w:rsid w:val="00C775C0"/>
    <w:rsid w:val="00C92D48"/>
    <w:rsid w:val="00D3687D"/>
    <w:rsid w:val="00D458C1"/>
    <w:rsid w:val="00D5484B"/>
    <w:rsid w:val="00DB0D16"/>
    <w:rsid w:val="00F85B57"/>
    <w:rsid w:val="00FB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D9D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0548C"/>
    <w:pPr>
      <w:keepNext/>
      <w:keepLines/>
      <w:spacing w:before="360"/>
      <w:outlineLvl w:val="0"/>
    </w:pPr>
    <w:rPr>
      <w:rFonts w:ascii="Arial" w:eastAsiaTheme="majorEastAsia" w:hAnsi="Arial" w:cstheme="majorBidi"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548C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10548C"/>
    <w:rPr>
      <w:rFonts w:ascii="Arial" w:eastAsiaTheme="majorEastAsia" w:hAnsi="Arial" w:cstheme="majorBidi"/>
      <w:bCs/>
      <w:sz w:val="32"/>
      <w:szCs w:val="28"/>
    </w:rPr>
  </w:style>
  <w:style w:type="paragraph" w:styleId="Titulek">
    <w:name w:val="caption"/>
    <w:basedOn w:val="Normln"/>
    <w:next w:val="Normln"/>
    <w:uiPriority w:val="35"/>
    <w:unhideWhenUsed/>
    <w:qFormat/>
    <w:rsid w:val="007606E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85B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F473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473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F473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4736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9F4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E69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D9D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0548C"/>
    <w:pPr>
      <w:keepNext/>
      <w:keepLines/>
      <w:spacing w:before="360"/>
      <w:outlineLvl w:val="0"/>
    </w:pPr>
    <w:rPr>
      <w:rFonts w:ascii="Arial" w:eastAsiaTheme="majorEastAsia" w:hAnsi="Arial" w:cstheme="majorBidi"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548C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10548C"/>
    <w:rPr>
      <w:rFonts w:ascii="Arial" w:eastAsiaTheme="majorEastAsia" w:hAnsi="Arial" w:cstheme="majorBidi"/>
      <w:bCs/>
      <w:sz w:val="32"/>
      <w:szCs w:val="28"/>
    </w:rPr>
  </w:style>
  <w:style w:type="paragraph" w:styleId="Titulek">
    <w:name w:val="caption"/>
    <w:basedOn w:val="Normln"/>
    <w:next w:val="Normln"/>
    <w:uiPriority w:val="35"/>
    <w:unhideWhenUsed/>
    <w:qFormat/>
    <w:rsid w:val="007606E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85B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F473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473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F473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4736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9F4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E69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4957C-E7FF-4123-8B28-5875C9956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ucitel</cp:lastModifiedBy>
  <cp:revision>2</cp:revision>
  <dcterms:created xsi:type="dcterms:W3CDTF">2015-02-17T16:14:00Z</dcterms:created>
  <dcterms:modified xsi:type="dcterms:W3CDTF">2015-02-17T16:14:00Z</dcterms:modified>
</cp:coreProperties>
</file>