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6B" w:rsidRPr="002F2A6B" w:rsidRDefault="002F2A6B" w:rsidP="002F2A6B">
      <w:pPr>
        <w:keepNext/>
        <w:keepLines/>
        <w:spacing w:before="240"/>
        <w:ind w:firstLine="0"/>
        <w:jc w:val="center"/>
        <w:outlineLvl w:val="0"/>
        <w:rPr>
          <w:rFonts w:ascii="Arial" w:eastAsia="Times New Roman" w:hAnsi="Arial" w:cs="Times New Roman"/>
          <w:color w:val="000000"/>
          <w:sz w:val="36"/>
          <w:szCs w:val="32"/>
        </w:rPr>
      </w:pPr>
      <w:r w:rsidRPr="002F2A6B">
        <w:rPr>
          <w:rFonts w:ascii="Arial" w:eastAsia="Times New Roman" w:hAnsi="Arial" w:cs="Times New Roman"/>
          <w:color w:val="000000"/>
          <w:sz w:val="36"/>
          <w:szCs w:val="32"/>
        </w:rPr>
        <w:t>Metodický pokyn</w:t>
      </w:r>
    </w:p>
    <w:tbl>
      <w:tblPr>
        <w:tblStyle w:val="Mkatabulky1"/>
        <w:tblpPr w:leftFromText="141" w:rightFromText="141" w:vertAnchor="text" w:horzAnchor="margin" w:tblpXSpec="center" w:tblpY="132"/>
        <w:tblW w:w="0" w:type="auto"/>
        <w:tblLook w:val="04A0"/>
      </w:tblPr>
      <w:tblGrid>
        <w:gridCol w:w="3647"/>
        <w:gridCol w:w="3299"/>
      </w:tblGrid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Projekt</w:t>
            </w:r>
          </w:p>
        </w:tc>
        <w:tc>
          <w:tcPr>
            <w:tcW w:w="3299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proofErr w:type="gramStart"/>
            <w:r w:rsidRPr="00DA13A2">
              <w:t>CZ .1.07/1.1.36/02.0066</w:t>
            </w:r>
            <w:proofErr w:type="gramEnd"/>
          </w:p>
        </w:tc>
      </w:tr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Autor</w:t>
            </w:r>
          </w:p>
        </w:tc>
        <w:tc>
          <w:tcPr>
            <w:tcW w:w="3299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Mgr. Petra Kašpárková</w:t>
            </w:r>
          </w:p>
        </w:tc>
      </w:tr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Předmět</w:t>
            </w:r>
          </w:p>
        </w:tc>
        <w:tc>
          <w:tcPr>
            <w:tcW w:w="3299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Chemie</w:t>
            </w:r>
          </w:p>
        </w:tc>
      </w:tr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Výukový materiál téma</w:t>
            </w:r>
          </w:p>
        </w:tc>
        <w:tc>
          <w:tcPr>
            <w:tcW w:w="3299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>
              <w:t>Periodický zákon</w:t>
            </w:r>
          </w:p>
        </w:tc>
      </w:tr>
      <w:tr w:rsidR="002F2A6B" w:rsidRPr="00DA13A2" w:rsidTr="002F2A6B">
        <w:tc>
          <w:tcPr>
            <w:tcW w:w="3647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 w:rsidRPr="00DA13A2">
              <w:t>Výukový materiál soubor</w:t>
            </w:r>
          </w:p>
        </w:tc>
        <w:tc>
          <w:tcPr>
            <w:tcW w:w="3299" w:type="dxa"/>
          </w:tcPr>
          <w:p w:rsidR="002F2A6B" w:rsidRPr="00DA13A2" w:rsidRDefault="002F2A6B" w:rsidP="007E5187">
            <w:pPr>
              <w:pStyle w:val="Bezmezer"/>
              <w:spacing w:line="240" w:lineRule="auto"/>
            </w:pPr>
            <w:r>
              <w:t>08_Periodický_zákon</w:t>
            </w:r>
          </w:p>
        </w:tc>
      </w:tr>
    </w:tbl>
    <w:p w:rsidR="002F2A6B" w:rsidRDefault="002F2A6B" w:rsidP="00270F4A"/>
    <w:p w:rsidR="002F2A6B" w:rsidRDefault="002F2A6B" w:rsidP="00270F4A"/>
    <w:p w:rsidR="002F2A6B" w:rsidRDefault="002F2A6B" w:rsidP="00270F4A"/>
    <w:p w:rsidR="002F2A6B" w:rsidRDefault="002F2A6B" w:rsidP="00270F4A"/>
    <w:p w:rsidR="002F2A6B" w:rsidRDefault="002F2A6B" w:rsidP="00270F4A"/>
    <w:p w:rsidR="002F2A6B" w:rsidRPr="002F2A6B" w:rsidRDefault="002F2A6B" w:rsidP="002F2A6B">
      <w:pPr>
        <w:ind w:firstLine="0"/>
        <w:rPr>
          <w:rFonts w:ascii="Arial" w:eastAsia="Calibri" w:hAnsi="Arial" w:cs="Arial"/>
          <w:sz w:val="32"/>
          <w:szCs w:val="32"/>
        </w:rPr>
      </w:pPr>
      <w:r w:rsidRPr="002F2A6B">
        <w:rPr>
          <w:rFonts w:ascii="Arial" w:eastAsia="Calibri" w:hAnsi="Arial" w:cs="Arial"/>
          <w:sz w:val="32"/>
          <w:szCs w:val="32"/>
        </w:rPr>
        <w:t>Obsah a vymezení výukového materiálu (anotace)</w:t>
      </w:r>
    </w:p>
    <w:p w:rsidR="00270F4A" w:rsidRDefault="00236A83" w:rsidP="00236A83">
      <w:r>
        <w:t xml:space="preserve">Ukázky zahrnují v co největší možné míře důsledky periodického zákona. Od stejného počtu val. </w:t>
      </w:r>
      <w:proofErr w:type="gramStart"/>
      <w:r>
        <w:t>el</w:t>
      </w:r>
      <w:proofErr w:type="gramEnd"/>
      <w:r>
        <w:t xml:space="preserve">. s a p prvků v jedné skupině přes </w:t>
      </w:r>
      <w:r>
        <w:rPr>
          <w:rStyle w:val="MathematicaFormatTextForm"/>
          <w:color w:val="000000"/>
        </w:rPr>
        <w:t>změnu relativní atomové hmotnosti v periodě směrem zleva doprava a ve skupině směrem shora dolů po počet izotopů prvku v závislosti na protonovém čísle.</w:t>
      </w:r>
      <w:r>
        <w:t xml:space="preserve"> </w:t>
      </w:r>
    </w:p>
    <w:p w:rsidR="00270F4A" w:rsidRPr="002F2A6B" w:rsidRDefault="002F2A6B" w:rsidP="002F2A6B">
      <w:pPr>
        <w:keepNext/>
        <w:keepLines/>
        <w:spacing w:before="240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t>Popis použití ve výuce (didaktická podpora)</w:t>
      </w:r>
    </w:p>
    <w:p w:rsidR="005B43A9" w:rsidRDefault="005B43A9" w:rsidP="00EF153A">
      <w:pPr>
        <w:rPr>
          <w:rStyle w:val="MathematicaFormatTextForm"/>
          <w:color w:val="000000"/>
        </w:rPr>
      </w:pPr>
      <w:r>
        <w:rPr>
          <w:rStyle w:val="MathematicaFormatTextForm"/>
          <w:color w:val="000000"/>
        </w:rPr>
        <w:t>Pro snazší pochopení periodického zákona je vhodné ukázat žákům, že prvky jsou uspořádané</w:t>
      </w:r>
      <w:r w:rsidRPr="005B43A9">
        <w:rPr>
          <w:rStyle w:val="MathematicaFormatTextForm"/>
          <w:color w:val="000000"/>
        </w:rPr>
        <w:t xml:space="preserve"> podle elektronového obalu tak, aby ve skupinách nad sebou ležely prvky se stejným počtem valenčních elektronů</w:t>
      </w:r>
      <w:r>
        <w:rPr>
          <w:rStyle w:val="MathematicaFormatTextForm"/>
          <w:color w:val="000000"/>
        </w:rPr>
        <w:t xml:space="preserve">. Jako vhodný příklad poslouží skupina I. A, II. A a III. A. Dále je možné ukázat, že </w:t>
      </w:r>
      <w:r w:rsidRPr="005B43A9">
        <w:rPr>
          <w:rStyle w:val="MathematicaFormatTextForm"/>
          <w:color w:val="000000"/>
        </w:rPr>
        <w:t xml:space="preserve">prvky nacházející se ve společné skupině </w:t>
      </w:r>
      <w:r>
        <w:rPr>
          <w:rStyle w:val="MathematicaFormatTextForm"/>
          <w:color w:val="000000"/>
        </w:rPr>
        <w:t xml:space="preserve">a tedy mající stejný počet valenčních elektronů, </w:t>
      </w:r>
      <w:r w:rsidRPr="005B43A9">
        <w:rPr>
          <w:rStyle w:val="MathematicaFormatTextForm"/>
          <w:color w:val="000000"/>
        </w:rPr>
        <w:t>vykazují i</w:t>
      </w:r>
      <w:r>
        <w:rPr>
          <w:rStyle w:val="MathematicaFormatTextForm"/>
          <w:color w:val="000000"/>
        </w:rPr>
        <w:t> </w:t>
      </w:r>
      <w:r w:rsidRPr="005B43A9">
        <w:rPr>
          <w:rStyle w:val="MathematicaFormatTextForm"/>
          <w:color w:val="000000"/>
        </w:rPr>
        <w:t>podobné chemické vlastnosti</w:t>
      </w:r>
      <w:r>
        <w:rPr>
          <w:rStyle w:val="MathematicaFormatTextForm"/>
          <w:color w:val="000000"/>
        </w:rPr>
        <w:t>.</w:t>
      </w:r>
      <w:r w:rsidR="00810788">
        <w:rPr>
          <w:rStyle w:val="MathematicaFormatTextForm"/>
          <w:color w:val="000000"/>
        </w:rPr>
        <w:t xml:space="preserve"> Tyto vlastnosti se pravidelně opakují </w:t>
      </w:r>
      <w:proofErr w:type="gramStart"/>
      <w:r w:rsidR="00810788">
        <w:rPr>
          <w:rStyle w:val="MathematicaFormatTextForm"/>
          <w:color w:val="000000"/>
        </w:rPr>
        <w:t>stejně jako</w:t>
      </w:r>
      <w:proofErr w:type="gramEnd"/>
      <w:r w:rsidR="00810788">
        <w:rPr>
          <w:rStyle w:val="MathematicaFormatTextForm"/>
          <w:color w:val="000000"/>
        </w:rPr>
        <w:t xml:space="preserve"> se opakuje stavba elektronového obalu s rostoucím protonovým číslem.</w:t>
      </w:r>
    </w:p>
    <w:p w:rsidR="00810788" w:rsidRDefault="00810788" w:rsidP="003D30FD">
      <w:pPr>
        <w:rPr>
          <w:rStyle w:val="MathematicaFormatTextForm"/>
          <w:color w:val="000000"/>
        </w:rPr>
      </w:pPr>
      <w:r>
        <w:rPr>
          <w:rStyle w:val="MathematicaFormatTextForm"/>
          <w:color w:val="000000"/>
        </w:rPr>
        <w:t>S rostoucím protonovým číslem zároveň roste relativní atomová hmotnost</w:t>
      </w:r>
      <w:r w:rsidR="004B023E">
        <w:rPr>
          <w:rStyle w:val="MathematicaFormatTextForm"/>
          <w:color w:val="000000"/>
        </w:rPr>
        <w:t xml:space="preserve"> (úkol č. 1)</w:t>
      </w:r>
      <w:r>
        <w:rPr>
          <w:rStyle w:val="MathematicaFormatTextForm"/>
          <w:color w:val="000000"/>
        </w:rPr>
        <w:t xml:space="preserve">. </w:t>
      </w:r>
      <w:r w:rsidRPr="00810788">
        <w:rPr>
          <w:rStyle w:val="MathematicaFormatTextForm"/>
          <w:color w:val="000000"/>
        </w:rPr>
        <w:t>Závislost relativní atomové hmotnosti na protonovém čísle prvku</w:t>
      </w:r>
      <w:r>
        <w:rPr>
          <w:rStyle w:val="MathematicaFormatTextForm"/>
          <w:color w:val="000000"/>
        </w:rPr>
        <w:t xml:space="preserve"> je vyjádřena pomocí názorného interaktivního grafu.</w:t>
      </w:r>
      <w:r w:rsidR="003D30FD">
        <w:rPr>
          <w:rStyle w:val="MathematicaFormatTextForm"/>
          <w:color w:val="000000"/>
        </w:rPr>
        <w:t xml:space="preserve"> </w:t>
      </w:r>
      <w:r>
        <w:rPr>
          <w:rStyle w:val="MathematicaFormatTextForm"/>
          <w:color w:val="000000"/>
        </w:rPr>
        <w:t xml:space="preserve">Pomocí </w:t>
      </w:r>
      <w:r w:rsidR="003D30FD">
        <w:rPr>
          <w:rStyle w:val="MathematicaFormatTextForm"/>
          <w:color w:val="000000"/>
        </w:rPr>
        <w:t xml:space="preserve">dalších dvou vytvořených </w:t>
      </w:r>
      <w:r>
        <w:rPr>
          <w:rStyle w:val="MathematicaFormatTextForm"/>
          <w:color w:val="000000"/>
        </w:rPr>
        <w:t xml:space="preserve">grafů je možné </w:t>
      </w:r>
      <w:r w:rsidR="003D30FD">
        <w:rPr>
          <w:rStyle w:val="MathematicaFormatTextForm"/>
          <w:color w:val="000000"/>
        </w:rPr>
        <w:t>pozorovat</w:t>
      </w:r>
      <w:r>
        <w:rPr>
          <w:rStyle w:val="MathematicaFormatTextForm"/>
          <w:color w:val="000000"/>
        </w:rPr>
        <w:t xml:space="preserve"> změ</w:t>
      </w:r>
      <w:r w:rsidR="003D30FD">
        <w:rPr>
          <w:rStyle w:val="MathematicaFormatTextForm"/>
          <w:color w:val="000000"/>
        </w:rPr>
        <w:t xml:space="preserve">nu relativní atomové hmotnosti </w:t>
      </w:r>
      <w:r>
        <w:rPr>
          <w:rStyle w:val="MathematicaFormatTextForm"/>
          <w:color w:val="000000"/>
        </w:rPr>
        <w:t xml:space="preserve">v periodě </w:t>
      </w:r>
      <w:r w:rsidR="003D30FD">
        <w:rPr>
          <w:rStyle w:val="MathematicaFormatTextForm"/>
          <w:color w:val="000000"/>
        </w:rPr>
        <w:t xml:space="preserve">směrem zleva doprava </w:t>
      </w:r>
      <w:r>
        <w:rPr>
          <w:rStyle w:val="MathematicaFormatTextForm"/>
          <w:color w:val="000000"/>
        </w:rPr>
        <w:t>a ve skupině</w:t>
      </w:r>
      <w:r w:rsidR="003D30FD">
        <w:rPr>
          <w:rStyle w:val="MathematicaFormatTextForm"/>
          <w:color w:val="000000"/>
        </w:rPr>
        <w:t xml:space="preserve"> směrem shora dolů. Jako příklad byla zvolena druhá perioda a VI. A skupina</w:t>
      </w:r>
      <w:r w:rsidR="004B023E">
        <w:rPr>
          <w:rStyle w:val="MathematicaFormatTextForm"/>
          <w:color w:val="000000"/>
        </w:rPr>
        <w:t xml:space="preserve"> (úkol č. 2 a 3)</w:t>
      </w:r>
      <w:r w:rsidR="003D30FD">
        <w:rPr>
          <w:rStyle w:val="MathematicaFormatTextForm"/>
          <w:color w:val="000000"/>
        </w:rPr>
        <w:t>.</w:t>
      </w:r>
    </w:p>
    <w:p w:rsidR="004B023E" w:rsidRDefault="004B023E" w:rsidP="003D30FD">
      <w:pPr>
        <w:rPr>
          <w:rStyle w:val="MathematicaFormatTextForm"/>
        </w:rPr>
      </w:pPr>
      <w:r>
        <w:rPr>
          <w:rStyle w:val="MathematicaFormatTextForm"/>
          <w:color w:val="000000"/>
        </w:rPr>
        <w:t>Poslední interaktivní graf ukazuje protonové číslo prvku, název prvku a počet izotopů, který daný prvek tvoří. Žáci pomocí tohoto grafu</w:t>
      </w:r>
      <w:r w:rsidR="005372FF">
        <w:rPr>
          <w:rStyle w:val="MathematicaFormatTextForm"/>
          <w:color w:val="000000"/>
        </w:rPr>
        <w:t xml:space="preserve"> (viz Obr. 1)</w:t>
      </w:r>
      <w:r>
        <w:rPr>
          <w:rStyle w:val="MathematicaFormatTextForm"/>
          <w:color w:val="000000"/>
        </w:rPr>
        <w:t xml:space="preserve"> snadn</w:t>
      </w:r>
      <w:r w:rsidR="005372FF">
        <w:rPr>
          <w:rStyle w:val="MathematicaFormatTextForm"/>
          <w:color w:val="000000"/>
        </w:rPr>
        <w:t xml:space="preserve">o odpoví na otázku v úkolu č. 4: </w:t>
      </w:r>
      <w:r w:rsidR="005372FF">
        <w:rPr>
          <w:rStyle w:val="MathematicaFormatTextForm"/>
        </w:rPr>
        <w:t>Je pravda, že čím vyšší protonové číslo prvku, tím více izotopů může prvek tvořit?</w:t>
      </w:r>
    </w:p>
    <w:p w:rsidR="005372FF" w:rsidRDefault="005372FF" w:rsidP="007E5187">
      <w:pPr>
        <w:jc w:val="center"/>
        <w:rPr>
          <w:rStyle w:val="MathematicaFormatTextForm"/>
        </w:rPr>
      </w:pPr>
      <w:r>
        <w:rPr>
          <w:rFonts w:ascii="Courier" w:hAnsi="Courier" w:cs="Courier"/>
          <w:noProof/>
          <w:lang w:eastAsia="cs-CZ"/>
        </w:rPr>
        <w:lastRenderedPageBreak/>
        <w:drawing>
          <wp:inline distT="0" distB="0" distL="0" distR="0">
            <wp:extent cx="5143500" cy="2907792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01" cy="290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FF" w:rsidRPr="005372FF" w:rsidRDefault="005372FF" w:rsidP="007E5187">
      <w:pPr>
        <w:pStyle w:val="Titulek"/>
        <w:jc w:val="center"/>
        <w:rPr>
          <w:rStyle w:val="MathematicaFormatTextForm"/>
          <w:color w:val="auto"/>
        </w:rPr>
      </w:pPr>
      <w:r w:rsidRPr="005372FF">
        <w:rPr>
          <w:color w:val="auto"/>
        </w:rPr>
        <w:t xml:space="preserve">Obrázek </w:t>
      </w:r>
      <w:r w:rsidR="00D864EC" w:rsidRPr="005372FF">
        <w:rPr>
          <w:color w:val="auto"/>
        </w:rPr>
        <w:fldChar w:fldCharType="begin"/>
      </w:r>
      <w:r w:rsidRPr="005372FF">
        <w:rPr>
          <w:color w:val="auto"/>
        </w:rPr>
        <w:instrText xml:space="preserve"> SEQ Obrázek \* ARABIC </w:instrText>
      </w:r>
      <w:r w:rsidR="00D864EC" w:rsidRPr="005372FF">
        <w:rPr>
          <w:color w:val="auto"/>
        </w:rPr>
        <w:fldChar w:fldCharType="separate"/>
      </w:r>
      <w:r w:rsidR="009852EB">
        <w:rPr>
          <w:noProof/>
          <w:color w:val="auto"/>
        </w:rPr>
        <w:t>1</w:t>
      </w:r>
      <w:r w:rsidR="00D864EC" w:rsidRPr="005372FF">
        <w:rPr>
          <w:color w:val="auto"/>
        </w:rPr>
        <w:fldChar w:fldCharType="end"/>
      </w:r>
      <w:r>
        <w:rPr>
          <w:color w:val="auto"/>
        </w:rPr>
        <w:t xml:space="preserve"> Počet izotopů prvků</w:t>
      </w:r>
    </w:p>
    <w:p w:rsidR="002F2A6B" w:rsidRPr="002F2A6B" w:rsidRDefault="002F2A6B" w:rsidP="002F2A6B">
      <w:pPr>
        <w:keepNext/>
        <w:keepLines/>
        <w:spacing w:before="240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t xml:space="preserve">Technický popis materiálu (komentář k systému Wolfram </w:t>
      </w:r>
      <w:proofErr w:type="spellStart"/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t>Mathematica</w:t>
      </w:r>
      <w:proofErr w:type="spellEnd"/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t>)</w:t>
      </w:r>
    </w:p>
    <w:p w:rsidR="00270F4A" w:rsidRDefault="00DA15E9" w:rsidP="00270F4A">
      <w:r>
        <w:t>Pro vytvoření tabulek s elektronovou konfigurací prvků ve skupině bylo použito zadání proměnné formou seznamu. Seznam tvoří protonová čísla tří prvků, ležících ve skupině pod sebou. Tato čísla se mohou snadno podle potřeby změnit.</w:t>
      </w:r>
    </w:p>
    <w:p w:rsidR="00DA15E9" w:rsidRDefault="00DA15E9" w:rsidP="00270F4A">
      <w:r>
        <w:t>Chceme-li pracovat např. s celou periodou, jako v úkolu 2, je třeba zadat její správný název</w:t>
      </w:r>
      <w:r w:rsidR="00B35CA7">
        <w:t>,</w:t>
      </w:r>
      <w:r>
        <w:t xml:space="preserve"> v tomto případě Period2Elements. Pro práci s celou skupinou platí totéž, např. pro VI. A skupinu je název Group16Elements.</w:t>
      </w:r>
    </w:p>
    <w:p w:rsidR="00270F4A" w:rsidRDefault="00B35CA7">
      <w:r>
        <w:t xml:space="preserve">Pro práci s izotopy využijeme příkaz </w:t>
      </w:r>
      <w:proofErr w:type="spellStart"/>
      <w:r>
        <w:t>IsotopeData</w:t>
      </w:r>
      <w:proofErr w:type="spellEnd"/>
      <w:r>
        <w:t xml:space="preserve">. Zobrazení celkového počtu izotopů prvku dosáhneme pomocí funkce </w:t>
      </w:r>
      <w:proofErr w:type="spellStart"/>
      <w:r>
        <w:t>Length</w:t>
      </w:r>
      <w:proofErr w:type="spellEnd"/>
      <w:r>
        <w:t xml:space="preserve">: </w:t>
      </w:r>
      <w:proofErr w:type="spellStart"/>
      <w:r w:rsidRPr="00B35CA7">
        <w:t>IsotopeData</w:t>
      </w:r>
      <w:proofErr w:type="spellEnd"/>
      <w:r w:rsidRPr="00B35CA7">
        <w:t>[z, "</w:t>
      </w:r>
      <w:proofErr w:type="spellStart"/>
      <w:r w:rsidRPr="00B35CA7">
        <w:t>NeutronNumber</w:t>
      </w:r>
      <w:proofErr w:type="spellEnd"/>
      <w:r w:rsidRPr="00B35CA7">
        <w:t xml:space="preserve">"] // </w:t>
      </w:r>
      <w:proofErr w:type="spellStart"/>
      <w:r w:rsidRPr="00B35CA7">
        <w:t>Length</w:t>
      </w:r>
      <w:proofErr w:type="spellEnd"/>
    </w:p>
    <w:p w:rsidR="002F2A6B" w:rsidRDefault="002F2A6B" w:rsidP="002F2A6B">
      <w:pPr>
        <w:keepNext/>
        <w:keepLines/>
        <w:spacing w:before="240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bookmarkStart w:id="0" w:name="_GoBack"/>
      <w:r w:rsidRPr="002F2A6B">
        <w:rPr>
          <w:rFonts w:ascii="Arial" w:eastAsia="Times New Roman" w:hAnsi="Arial" w:cs="Times New Roman"/>
          <w:color w:val="000000"/>
          <w:sz w:val="32"/>
          <w:szCs w:val="32"/>
        </w:rPr>
        <w:t>Shrnutí</w:t>
      </w:r>
      <w:bookmarkEnd w:id="0"/>
    </w:p>
    <w:p w:rsidR="00236A83" w:rsidRDefault="00236A83" w:rsidP="00236A83">
      <w:r>
        <w:t xml:space="preserve">V případě, že žáci </w:t>
      </w:r>
      <w:proofErr w:type="gramStart"/>
      <w:r>
        <w:t>nemají</w:t>
      </w:r>
      <w:proofErr w:type="gramEnd"/>
      <w:r>
        <w:t xml:space="preserve"> možnost s materiálem sami pracovat </w:t>
      </w:r>
      <w:proofErr w:type="gramStart"/>
      <w:r>
        <w:t>je</w:t>
      </w:r>
      <w:proofErr w:type="gramEnd"/>
      <w:r>
        <w:t xml:space="preserve"> třeba, aby grafy byly </w:t>
      </w:r>
      <w:r w:rsidR="008A14BA">
        <w:t xml:space="preserve">ukázány a </w:t>
      </w:r>
      <w:r w:rsidR="0045008D">
        <w:t xml:space="preserve">použity </w:t>
      </w:r>
      <w:r w:rsidR="008A14BA">
        <w:t xml:space="preserve">později </w:t>
      </w:r>
      <w:r w:rsidR="0045008D">
        <w:t xml:space="preserve">jako potvrzení či vyvrácení odpovědi na jednotlivé úkoly. Žáci by sami měli nejprve na základě znalosti periodického zákona na otázky odpovědět a potom si teprve prohlédnout grafy. Pokud neodpověděli správně, je vhodné využít </w:t>
      </w:r>
      <w:proofErr w:type="spellStart"/>
      <w:r w:rsidR="008A14BA">
        <w:t>interaktivit</w:t>
      </w:r>
      <w:r w:rsidR="0045008D">
        <w:t>u</w:t>
      </w:r>
      <w:proofErr w:type="spellEnd"/>
      <w:r w:rsidR="0045008D">
        <w:t xml:space="preserve"> grafu.</w:t>
      </w:r>
    </w:p>
    <w:p w:rsidR="0045008D" w:rsidRPr="002F2A6B" w:rsidRDefault="0045008D" w:rsidP="00236A83">
      <w:r>
        <w:t xml:space="preserve">Pokud materiál slouží k samostatnému opakování, mohou si žáci </w:t>
      </w:r>
      <w:r w:rsidR="008A14BA">
        <w:t>pomocí grafů správnost odpovědi ověřit sami nebo odpověď pomocí grafu najít.</w:t>
      </w:r>
    </w:p>
    <w:sectPr w:rsidR="0045008D" w:rsidRPr="002F2A6B" w:rsidSect="00D55E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74" w:rsidRDefault="00F72574" w:rsidP="00DA13A2">
      <w:pPr>
        <w:spacing w:line="240" w:lineRule="auto"/>
      </w:pPr>
      <w:r>
        <w:separator/>
      </w:r>
    </w:p>
  </w:endnote>
  <w:endnote w:type="continuationSeparator" w:id="0">
    <w:p w:rsidR="00F72574" w:rsidRDefault="00F72574" w:rsidP="00DA1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74" w:rsidRDefault="00F72574" w:rsidP="00DA13A2">
      <w:pPr>
        <w:spacing w:line="240" w:lineRule="auto"/>
      </w:pPr>
      <w:r>
        <w:separator/>
      </w:r>
    </w:p>
  </w:footnote>
  <w:footnote w:type="continuationSeparator" w:id="0">
    <w:p w:rsidR="00F72574" w:rsidRDefault="00F72574" w:rsidP="00DA13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A2" w:rsidRDefault="00DA13A2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388"/>
    <w:rsid w:val="001E0026"/>
    <w:rsid w:val="00236A83"/>
    <w:rsid w:val="00270F4A"/>
    <w:rsid w:val="002F2A6B"/>
    <w:rsid w:val="003D30FD"/>
    <w:rsid w:val="0045008D"/>
    <w:rsid w:val="004B023E"/>
    <w:rsid w:val="005372FF"/>
    <w:rsid w:val="005B43A9"/>
    <w:rsid w:val="0069657E"/>
    <w:rsid w:val="007E5187"/>
    <w:rsid w:val="00810788"/>
    <w:rsid w:val="008A14BA"/>
    <w:rsid w:val="009852EB"/>
    <w:rsid w:val="00B35CA7"/>
    <w:rsid w:val="00D55E25"/>
    <w:rsid w:val="00D71D97"/>
    <w:rsid w:val="00D864EC"/>
    <w:rsid w:val="00DA13A2"/>
    <w:rsid w:val="00DA15E9"/>
    <w:rsid w:val="00E01FA1"/>
    <w:rsid w:val="00E65388"/>
    <w:rsid w:val="00EF153A"/>
    <w:rsid w:val="00F7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A83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70F4A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0F4A"/>
    <w:rPr>
      <w:rFonts w:ascii="Arial" w:eastAsiaTheme="majorEastAsia" w:hAnsi="Arial" w:cstheme="majorBidi"/>
      <w:bCs/>
      <w:sz w:val="32"/>
      <w:szCs w:val="28"/>
    </w:rPr>
  </w:style>
  <w:style w:type="paragraph" w:styleId="Bezmezer">
    <w:name w:val="No Spacing"/>
    <w:uiPriority w:val="1"/>
    <w:qFormat/>
    <w:rsid w:val="00270F4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270F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thematicaFormatTextForm">
    <w:name w:val="MathematicaFormatTextForm"/>
    <w:uiPriority w:val="99"/>
    <w:rsid w:val="00270F4A"/>
  </w:style>
  <w:style w:type="paragraph" w:styleId="Zhlav">
    <w:name w:val="header"/>
    <w:basedOn w:val="Normln"/>
    <w:link w:val="ZhlavChar"/>
    <w:uiPriority w:val="99"/>
    <w:unhideWhenUsed/>
    <w:rsid w:val="00DA13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A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A13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A2"/>
    <w:rPr>
      <w:rFonts w:ascii="Times New Roman" w:hAnsi="Times New Roman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DA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A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15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53A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uiPriority w:val="99"/>
    <w:rsid w:val="005372FF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17BA-FEF9-4447-8386-D0276707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kas</cp:lastModifiedBy>
  <cp:revision>16</cp:revision>
  <dcterms:created xsi:type="dcterms:W3CDTF">2014-03-06T09:35:00Z</dcterms:created>
  <dcterms:modified xsi:type="dcterms:W3CDTF">2014-06-19T20:29:00Z</dcterms:modified>
</cp:coreProperties>
</file>