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A34" w:rsidRPr="004E3A34" w:rsidRDefault="004E3A34" w:rsidP="004E3A34">
      <w:pPr>
        <w:keepNext/>
        <w:keepLines/>
        <w:spacing w:before="240" w:after="240"/>
        <w:ind w:firstLine="0"/>
        <w:jc w:val="center"/>
        <w:outlineLvl w:val="0"/>
        <w:rPr>
          <w:rFonts w:ascii="Arial" w:eastAsiaTheme="majorEastAsia" w:hAnsi="Arial" w:cstheme="majorBidi"/>
          <w:color w:val="000000" w:themeColor="text1"/>
          <w:sz w:val="36"/>
          <w:szCs w:val="32"/>
        </w:rPr>
      </w:pPr>
      <w:r w:rsidRPr="004E3A34">
        <w:rPr>
          <w:rFonts w:ascii="Arial" w:eastAsiaTheme="majorEastAsia" w:hAnsi="Arial" w:cstheme="majorBidi"/>
          <w:color w:val="000000" w:themeColor="text1"/>
          <w:sz w:val="36"/>
          <w:szCs w:val="32"/>
        </w:rPr>
        <w:t>Metodický pokyn</w:t>
      </w:r>
    </w:p>
    <w:tbl>
      <w:tblPr>
        <w:tblStyle w:val="Mkatabulky1"/>
        <w:tblpPr w:leftFromText="141" w:rightFromText="141" w:vertAnchor="text" w:horzAnchor="margin" w:tblpXSpec="center" w:tblpY="167"/>
        <w:tblW w:w="0" w:type="auto"/>
        <w:tblLook w:val="04A0" w:firstRow="1" w:lastRow="0" w:firstColumn="1" w:lastColumn="0" w:noHBand="0" w:noVBand="1"/>
      </w:tblPr>
      <w:tblGrid>
        <w:gridCol w:w="3647"/>
        <w:gridCol w:w="3946"/>
      </w:tblGrid>
      <w:tr w:rsidR="004E3A34" w:rsidRPr="00D430BB" w:rsidTr="004E3A34">
        <w:tc>
          <w:tcPr>
            <w:tcW w:w="3647" w:type="dxa"/>
          </w:tcPr>
          <w:p w:rsidR="004E3A34" w:rsidRPr="00D430BB" w:rsidRDefault="004E3A34" w:rsidP="004E3A34">
            <w:pPr>
              <w:spacing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 w:rsidRPr="00D430BB">
              <w:rPr>
                <w:rFonts w:ascii="Calibri" w:eastAsia="Calibri" w:hAnsi="Calibri" w:cs="Times New Roman"/>
              </w:rPr>
              <w:t>Projekt</w:t>
            </w:r>
          </w:p>
        </w:tc>
        <w:tc>
          <w:tcPr>
            <w:tcW w:w="3299" w:type="dxa"/>
          </w:tcPr>
          <w:p w:rsidR="004E3A34" w:rsidRPr="00D430BB" w:rsidRDefault="004E3A34" w:rsidP="004E3A34">
            <w:pPr>
              <w:spacing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proofErr w:type="gramStart"/>
            <w:r w:rsidRPr="00D430BB">
              <w:rPr>
                <w:rFonts w:ascii="Calibri" w:eastAsia="Calibri" w:hAnsi="Calibri" w:cs="Times New Roman"/>
              </w:rPr>
              <w:t>CZ .1.07/1.1.36/02.0066</w:t>
            </w:r>
            <w:proofErr w:type="gramEnd"/>
          </w:p>
        </w:tc>
      </w:tr>
      <w:tr w:rsidR="004E3A34" w:rsidRPr="00D430BB" w:rsidTr="004E3A34">
        <w:tc>
          <w:tcPr>
            <w:tcW w:w="3647" w:type="dxa"/>
          </w:tcPr>
          <w:p w:rsidR="004E3A34" w:rsidRPr="00D430BB" w:rsidRDefault="004E3A34" w:rsidP="004E3A34">
            <w:pPr>
              <w:spacing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 w:rsidRPr="00D430BB">
              <w:rPr>
                <w:rFonts w:ascii="Calibri" w:eastAsia="Calibri" w:hAnsi="Calibri" w:cs="Times New Roman"/>
              </w:rPr>
              <w:t>Autor</w:t>
            </w:r>
          </w:p>
        </w:tc>
        <w:tc>
          <w:tcPr>
            <w:tcW w:w="3299" w:type="dxa"/>
          </w:tcPr>
          <w:p w:rsidR="004E3A34" w:rsidRPr="00D430BB" w:rsidRDefault="004E3A34" w:rsidP="004E3A34">
            <w:pPr>
              <w:spacing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Mgr. Petra Kašpárková</w:t>
            </w:r>
          </w:p>
        </w:tc>
      </w:tr>
      <w:tr w:rsidR="004E3A34" w:rsidRPr="00D430BB" w:rsidTr="004E3A34">
        <w:tc>
          <w:tcPr>
            <w:tcW w:w="3647" w:type="dxa"/>
          </w:tcPr>
          <w:p w:rsidR="004E3A34" w:rsidRPr="00D430BB" w:rsidRDefault="004E3A34" w:rsidP="004E3A34">
            <w:pPr>
              <w:spacing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 w:rsidRPr="00D430BB">
              <w:rPr>
                <w:rFonts w:ascii="Calibri" w:eastAsia="Calibri" w:hAnsi="Calibri" w:cs="Times New Roman"/>
              </w:rPr>
              <w:t>Předmět</w:t>
            </w:r>
          </w:p>
        </w:tc>
        <w:tc>
          <w:tcPr>
            <w:tcW w:w="3299" w:type="dxa"/>
          </w:tcPr>
          <w:p w:rsidR="004E3A34" w:rsidRPr="00D430BB" w:rsidRDefault="004E3A34" w:rsidP="004E3A34">
            <w:pPr>
              <w:spacing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Chemie</w:t>
            </w:r>
          </w:p>
        </w:tc>
      </w:tr>
      <w:tr w:rsidR="004E3A34" w:rsidRPr="00D430BB" w:rsidTr="004E3A34">
        <w:tc>
          <w:tcPr>
            <w:tcW w:w="3647" w:type="dxa"/>
          </w:tcPr>
          <w:p w:rsidR="004E3A34" w:rsidRPr="00D430BB" w:rsidRDefault="004E3A34" w:rsidP="004E3A34">
            <w:pPr>
              <w:spacing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 w:rsidRPr="00D430BB">
              <w:rPr>
                <w:rFonts w:ascii="Calibri" w:eastAsia="Calibri" w:hAnsi="Calibri" w:cs="Times New Roman"/>
              </w:rPr>
              <w:t>Výukový materiál téma</w:t>
            </w:r>
          </w:p>
        </w:tc>
        <w:tc>
          <w:tcPr>
            <w:tcW w:w="3299" w:type="dxa"/>
          </w:tcPr>
          <w:p w:rsidR="004E3A34" w:rsidRPr="00D430BB" w:rsidRDefault="004E3A34" w:rsidP="004E3A34">
            <w:pPr>
              <w:spacing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t>Hmotnostní zlomek</w:t>
            </w:r>
          </w:p>
        </w:tc>
      </w:tr>
      <w:tr w:rsidR="004E3A34" w:rsidRPr="00D430BB" w:rsidTr="004E3A34">
        <w:tc>
          <w:tcPr>
            <w:tcW w:w="3647" w:type="dxa"/>
          </w:tcPr>
          <w:p w:rsidR="004E3A34" w:rsidRPr="00D430BB" w:rsidRDefault="004E3A34" w:rsidP="004E3A34">
            <w:pPr>
              <w:spacing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Výukový</w:t>
            </w:r>
            <w:r w:rsidRPr="00D430BB">
              <w:rPr>
                <w:rFonts w:ascii="Calibri" w:eastAsia="Calibri" w:hAnsi="Calibri" w:cs="Times New Roman"/>
              </w:rPr>
              <w:t xml:space="preserve"> materiál soubor</w:t>
            </w:r>
          </w:p>
        </w:tc>
        <w:tc>
          <w:tcPr>
            <w:tcW w:w="3299" w:type="dxa"/>
          </w:tcPr>
          <w:p w:rsidR="004E3A34" w:rsidRPr="00D430BB" w:rsidRDefault="004E3A34" w:rsidP="004E3A34">
            <w:pPr>
              <w:spacing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02_Hmotnostní_zlomek_teorie</w:t>
            </w:r>
            <w:r w:rsidR="00BB4079">
              <w:rPr>
                <w:rFonts w:ascii="Calibri" w:eastAsia="Calibri" w:hAnsi="Calibri" w:cs="Times New Roman"/>
              </w:rPr>
              <w:t>_rozšířeno</w:t>
            </w:r>
          </w:p>
        </w:tc>
      </w:tr>
    </w:tbl>
    <w:p w:rsidR="004E3A34" w:rsidRDefault="004E3A34" w:rsidP="00C43913"/>
    <w:p w:rsidR="004E3A34" w:rsidRDefault="004E3A34" w:rsidP="00C43913"/>
    <w:p w:rsidR="004E3A34" w:rsidRDefault="004E3A34" w:rsidP="00C43913"/>
    <w:p w:rsidR="004E3A34" w:rsidRDefault="004E3A34" w:rsidP="00C43913"/>
    <w:p w:rsidR="004E3A34" w:rsidRDefault="004E3A34" w:rsidP="00933D7D">
      <w:pPr>
        <w:pStyle w:val="Bezmezer"/>
      </w:pPr>
    </w:p>
    <w:p w:rsidR="004E3A34" w:rsidRDefault="004E3A34" w:rsidP="004E3A34">
      <w:pPr>
        <w:pStyle w:val="Nadpis2"/>
      </w:pPr>
      <w:r>
        <w:t>Obsah a vymezení výukového materiálu (anotace)</w:t>
      </w:r>
    </w:p>
    <w:p w:rsidR="004E3A34" w:rsidRDefault="00EE4C26" w:rsidP="00EE4C26">
      <w:r>
        <w:t>Cílem tohoto učebního materiálu je sestavení a vyřešení vzorových příkladů pro výpočet hmotnostního zlomku látky a jeho variant. Tyto příklady a jejich obměny pak mohou sloužit k procvičení nebo ověření správného výsledku i při použití jiného postupu při výpočtu.</w:t>
      </w:r>
    </w:p>
    <w:p w:rsidR="004E3A34" w:rsidRDefault="004E3A34" w:rsidP="004E3A34">
      <w:pPr>
        <w:pStyle w:val="Nadpis2"/>
      </w:pPr>
      <w:r>
        <w:t>Popis použití ve výuce (didaktická podpora)</w:t>
      </w:r>
    </w:p>
    <w:p w:rsidR="00B47627" w:rsidRDefault="00B47627" w:rsidP="00B47627">
      <w:r>
        <w:t>Definice základních pojmů</w:t>
      </w:r>
      <w:r w:rsidR="00755005">
        <w:t xml:space="preserve"> nezbytných pro výpočet hmotnostního zlomku</w:t>
      </w:r>
      <w:r>
        <w:t xml:space="preserve"> jsou doplněné </w:t>
      </w:r>
      <w:r w:rsidR="00755005">
        <w:t>třemi vzorovými úkoly pro žáky s</w:t>
      </w:r>
      <w:r>
        <w:t xml:space="preserve"> jejich následným </w:t>
      </w:r>
      <w:r w:rsidR="00755005">
        <w:t>řešením</w:t>
      </w:r>
      <w:r>
        <w:t>.</w:t>
      </w:r>
      <w:r w:rsidR="008D6E01">
        <w:t xml:space="preserve"> Příklady byly zvoleny tak, aby ukázaly různé možnosti zadání a výpočtu.</w:t>
      </w:r>
      <w:r w:rsidR="00755005">
        <w:t xml:space="preserve"> Pro výpočet je používán vysvětlený vzorec, každý příklad je však možné řešit i dalšími způsoby, např. pomocí trojčlenky. </w:t>
      </w:r>
    </w:p>
    <w:p w:rsidR="00755005" w:rsidRDefault="00755005" w:rsidP="00B47627">
      <w:r>
        <w:t xml:space="preserve">Ke každému vzorovému příkladu je </w:t>
      </w:r>
      <w:r w:rsidR="00403AD2">
        <w:t>tedy vhodné ukázat alternativní řešení. Žáci mohou sami zhodnotit výhody a nevýhody provedených výpočtů pomocí vzorce nebo trojčlenky. Dále mohou sami navrhnout různé možnosti jak trojčlenku sestavit. Výsledek je vždy možné porovnat s výsledkem ve vzorovém příkladu.</w:t>
      </w:r>
    </w:p>
    <w:p w:rsidR="00EE4C26" w:rsidRDefault="00EE4C26" w:rsidP="00B47627">
      <w:r>
        <w:t xml:space="preserve">Dále byl tento materiál rozšířen o dvě grafické ukázky. Výpočet hmotnostního zlomku umožňuje rychle získat výsledek po zvolení hmotnosti rozpouštěné </w:t>
      </w:r>
      <w:proofErr w:type="gramStart"/>
      <w:r>
        <w:t>látky</w:t>
      </w:r>
      <w:r w:rsidR="00D473D2">
        <w:t xml:space="preserve"> (1 g–100</w:t>
      </w:r>
      <w:proofErr w:type="gramEnd"/>
      <w:r w:rsidR="00D473D2">
        <w:t xml:space="preserve"> g)</w:t>
      </w:r>
      <w:r>
        <w:t xml:space="preserve"> a</w:t>
      </w:r>
      <w:r w:rsidR="00D473D2">
        <w:t> </w:t>
      </w:r>
      <w:r>
        <w:t>hmotnosti rozpouštědla</w:t>
      </w:r>
      <w:r w:rsidR="00D473D2">
        <w:t xml:space="preserve"> (0 g–200 g). Ve druhé ukázce se rovněž volí hmotnost rozpouštěné </w:t>
      </w:r>
      <w:proofErr w:type="gramStart"/>
      <w:r w:rsidR="00D473D2">
        <w:t>látky (1 g–100</w:t>
      </w:r>
      <w:proofErr w:type="gramEnd"/>
      <w:r w:rsidR="00D473D2">
        <w:t xml:space="preserve"> g) a hmotnost rozpouštědla (1 g–100 g), výsledný hmotnostní zlomek složky v roztoku je reprezentován barevným bodem na dvou křivkách. Jeho hodnota je vždy u obou křivek stejná, zobrazená na ose y.</w:t>
      </w:r>
      <w:r w:rsidR="00AA4839">
        <w:t xml:space="preserve"> Tvar křivek se ale mění, protože první ukazuje závislost hmotnostního zlomku složky a hmotnosti složky (osa x), druhá ukazuje závislost hmotnostního zlomku složky a hmotnosti rozpouštědla (osa x) viz Obr. 1.</w:t>
      </w:r>
    </w:p>
    <w:p w:rsidR="0059637D" w:rsidRDefault="0059637D" w:rsidP="00B47627"/>
    <w:p w:rsidR="0059637D" w:rsidRDefault="0059637D" w:rsidP="00B47627"/>
    <w:p w:rsidR="0059637D" w:rsidRDefault="0059637D" w:rsidP="00B47627"/>
    <w:p w:rsidR="0059637D" w:rsidRPr="00B47627" w:rsidRDefault="0059637D" w:rsidP="00B47627"/>
    <w:p w:rsidR="002C56CF" w:rsidRDefault="00AA4839" w:rsidP="002C56CF">
      <w:pPr>
        <w:pStyle w:val="Odstavecseseznamem"/>
        <w:ind w:left="1287" w:firstLine="0"/>
      </w:pPr>
      <w:r>
        <w:rPr>
          <w:noProof/>
          <w:szCs w:val="24"/>
          <w:lang w:eastAsia="cs-CZ"/>
        </w:rPr>
        <w:drawing>
          <wp:inline distT="0" distB="0" distL="0" distR="0">
            <wp:extent cx="3971925" cy="4219575"/>
            <wp:effectExtent l="19050" t="0" r="952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839" w:rsidRDefault="00AA4839" w:rsidP="00AA4839">
      <w:pPr>
        <w:pStyle w:val="Titulek"/>
        <w:jc w:val="center"/>
        <w:rPr>
          <w:color w:val="000000" w:themeColor="text1"/>
        </w:rPr>
      </w:pPr>
      <w:r w:rsidRPr="00AA4839">
        <w:rPr>
          <w:color w:val="000000" w:themeColor="text1"/>
        </w:rPr>
        <w:t xml:space="preserve">Obrázek </w:t>
      </w:r>
      <w:r w:rsidRPr="00AA4839">
        <w:rPr>
          <w:color w:val="000000" w:themeColor="text1"/>
        </w:rPr>
        <w:fldChar w:fldCharType="begin"/>
      </w:r>
      <w:r w:rsidRPr="00AA4839">
        <w:rPr>
          <w:color w:val="000000" w:themeColor="text1"/>
        </w:rPr>
        <w:instrText xml:space="preserve"> SEQ Obrázek \* ARABIC </w:instrText>
      </w:r>
      <w:r w:rsidRPr="00AA4839">
        <w:rPr>
          <w:color w:val="000000" w:themeColor="text1"/>
        </w:rPr>
        <w:fldChar w:fldCharType="separate"/>
      </w:r>
      <w:r w:rsidRPr="00AA4839">
        <w:rPr>
          <w:noProof/>
          <w:color w:val="000000" w:themeColor="text1"/>
        </w:rPr>
        <w:t>1</w:t>
      </w:r>
      <w:r w:rsidRPr="00AA4839">
        <w:rPr>
          <w:color w:val="000000" w:themeColor="text1"/>
        </w:rPr>
        <w:fldChar w:fldCharType="end"/>
      </w:r>
      <w:r>
        <w:rPr>
          <w:color w:val="000000" w:themeColor="text1"/>
        </w:rPr>
        <w:t xml:space="preserve"> Grafické znázornění hmotnostního zlomku</w:t>
      </w:r>
    </w:p>
    <w:p w:rsidR="00BF492D" w:rsidRPr="00BF492D" w:rsidRDefault="00BF492D" w:rsidP="00BF492D"/>
    <w:p w:rsidR="004E3A34" w:rsidRDefault="004E3A34" w:rsidP="004E3A34">
      <w:pPr>
        <w:pStyle w:val="Nadpis2"/>
      </w:pPr>
      <w:r>
        <w:t xml:space="preserve">Technický popis materiálu (komentář k systému Wolfram </w:t>
      </w:r>
      <w:proofErr w:type="spellStart"/>
      <w:r>
        <w:t>Mathematica</w:t>
      </w:r>
      <w:proofErr w:type="spellEnd"/>
      <w:r>
        <w:t>)</w:t>
      </w:r>
    </w:p>
    <w:p w:rsidR="00AB729A" w:rsidRDefault="00AB729A" w:rsidP="00403AD2">
      <w:r>
        <w:t>Ve vzorových příkladech se j</w:t>
      </w:r>
      <w:r w:rsidRPr="00AB729A">
        <w:t>edná se o tři základní varianty pro výpočet hmotnostního zlomku.</w:t>
      </w:r>
      <w:r>
        <w:t xml:space="preserve"> Zobrazení je postupné.</w:t>
      </w:r>
      <w:r w:rsidRPr="00AB729A">
        <w:t xml:space="preserve"> Po zadání následuje vždy řešení příkladu, které je možné zobrazit</w:t>
      </w:r>
      <w:r>
        <w:t xml:space="preserve"> pomocí šipek</w:t>
      </w:r>
      <w:r w:rsidRPr="00AB729A">
        <w:t xml:space="preserve"> ve dvou krocích</w:t>
      </w:r>
      <w:r>
        <w:t>, nejprve dosazení do vzorce a poté výsledek</w:t>
      </w:r>
      <w:r w:rsidRPr="00AB729A">
        <w:t xml:space="preserve">. </w:t>
      </w:r>
    </w:p>
    <w:p w:rsidR="00403AD2" w:rsidRDefault="00403AD2" w:rsidP="00403AD2">
      <w:r>
        <w:t xml:space="preserve">Příklady jsou řešené pomocí příkazu </w:t>
      </w:r>
      <w:proofErr w:type="spellStart"/>
      <w:r>
        <w:t>Solve</w:t>
      </w:r>
      <w:proofErr w:type="spellEnd"/>
      <w:r>
        <w:t xml:space="preserve"> popř. </w:t>
      </w:r>
      <w:proofErr w:type="spellStart"/>
      <w:r>
        <w:t>NSolve</w:t>
      </w:r>
      <w:proofErr w:type="spellEnd"/>
      <w:r>
        <w:t xml:space="preserve"> (zajistí zobrazení výsledku jako desetinného čísla). S žáky je třeba u všech příkladů doplnit jednotky u výsledku a</w:t>
      </w:r>
      <w:r w:rsidR="00B02855">
        <w:t> </w:t>
      </w:r>
      <w:r>
        <w:t>odpověď.</w:t>
      </w:r>
    </w:p>
    <w:p w:rsidR="004E3A34" w:rsidRDefault="00AA4839" w:rsidP="00403AD2">
      <w:r>
        <w:t xml:space="preserve">Pro obě grafické ukázky bylo využito příkazu </w:t>
      </w:r>
      <w:proofErr w:type="spellStart"/>
      <w:r>
        <w:t>Manipulate</w:t>
      </w:r>
      <w:proofErr w:type="spellEnd"/>
      <w:r>
        <w:t>. Druhý</w:t>
      </w:r>
      <w:r w:rsidR="00ED5406">
        <w:t xml:space="preserve"> </w:t>
      </w:r>
      <w:proofErr w:type="spellStart"/>
      <w:r w:rsidR="00ED5406">
        <w:t>Manipulate</w:t>
      </w:r>
      <w:proofErr w:type="spellEnd"/>
      <w:r>
        <w:t xml:space="preserve"> je obtížnější, </w:t>
      </w:r>
      <w:r w:rsidR="00ED5406">
        <w:t>protože spojuje výpočty a dva grafy. Jeden graf v podobě křivky a druhý v podobě bodu. Výpočet musí být proveden zvlášť pro hmotnost rozpouštěné látky a zvlášť pro hmotnost rozpouštědla.</w:t>
      </w:r>
    </w:p>
    <w:p w:rsidR="0059637D" w:rsidRDefault="0059637D" w:rsidP="00403AD2"/>
    <w:p w:rsidR="0059637D" w:rsidRPr="00403AD2" w:rsidRDefault="0059637D" w:rsidP="00403AD2">
      <w:bookmarkStart w:id="0" w:name="_GoBack"/>
      <w:bookmarkEnd w:id="0"/>
    </w:p>
    <w:p w:rsidR="004E3A34" w:rsidRDefault="004E3A34" w:rsidP="004E3A34">
      <w:pPr>
        <w:pStyle w:val="Nadpis2"/>
      </w:pPr>
      <w:r>
        <w:t>Shrnutí</w:t>
      </w:r>
    </w:p>
    <w:p w:rsidR="00ED5406" w:rsidRDefault="00ED5406" w:rsidP="00ED5406">
      <w:r>
        <w:t>Pro některé žáky je obtížné pochopit současně s výkladem také způsob zadávání a</w:t>
      </w:r>
      <w:r w:rsidR="00BF492D">
        <w:t> </w:t>
      </w:r>
      <w:r>
        <w:t>řešení příkladů. Pokud se žáci s WM již setkali např. v matematice, je pro ně orientace v</w:t>
      </w:r>
      <w:r w:rsidR="00BF492D">
        <w:t> </w:t>
      </w:r>
      <w:r>
        <w:t>problematice a interpretace výsledků snazší.</w:t>
      </w:r>
    </w:p>
    <w:p w:rsidR="00ED5406" w:rsidRPr="00ED5406" w:rsidRDefault="00ED5406" w:rsidP="00ED5406">
      <w:r>
        <w:t>Druhá grafická ukázka je rovněž poněkud náročnější na pochopení</w:t>
      </w:r>
      <w:r w:rsidR="00BF492D">
        <w:t xml:space="preserve"> vzájemných vztahů a souvislostí.</w:t>
      </w:r>
      <w:r>
        <w:t xml:space="preserve"> </w:t>
      </w:r>
      <w:r w:rsidR="00BF492D">
        <w:t>Je třeba vše dobře vysvětlit a několikrát ukázat. Jedná se spíše o zajímavé doplnění výkladu, které ocení vnímavější žáci.</w:t>
      </w:r>
    </w:p>
    <w:p w:rsidR="007962D7" w:rsidRPr="002C56CF" w:rsidRDefault="007962D7" w:rsidP="004E3A34">
      <w:pPr>
        <w:pStyle w:val="Odstavecseseznamem"/>
        <w:ind w:left="1287" w:firstLine="0"/>
      </w:pPr>
    </w:p>
    <w:sectPr w:rsidR="007962D7" w:rsidRPr="002C56CF" w:rsidSect="002B040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0BB" w:rsidRDefault="00D430BB" w:rsidP="00D430BB">
      <w:pPr>
        <w:spacing w:line="240" w:lineRule="auto"/>
      </w:pPr>
      <w:r>
        <w:separator/>
      </w:r>
    </w:p>
  </w:endnote>
  <w:endnote w:type="continuationSeparator" w:id="0">
    <w:p w:rsidR="00D430BB" w:rsidRDefault="00D430BB" w:rsidP="00D430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0BB" w:rsidRDefault="00D430BB" w:rsidP="00D430BB">
      <w:pPr>
        <w:spacing w:line="240" w:lineRule="auto"/>
      </w:pPr>
      <w:r>
        <w:separator/>
      </w:r>
    </w:p>
  </w:footnote>
  <w:footnote w:type="continuationSeparator" w:id="0">
    <w:p w:rsidR="00D430BB" w:rsidRDefault="00D430BB" w:rsidP="00D430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0BB" w:rsidRDefault="00D430BB">
    <w:pPr>
      <w:pStyle w:val="Zhlav"/>
    </w:pPr>
    <w:r>
      <w:rPr>
        <w:rFonts w:ascii="Courier" w:hAnsi="Courier" w:cs="Courier"/>
        <w:noProof/>
        <w:lang w:eastAsia="cs-CZ"/>
      </w:rPr>
      <w:drawing>
        <wp:inline distT="0" distB="0" distL="0" distR="0">
          <wp:extent cx="4286992" cy="940163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797" cy="940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A2373"/>
    <w:multiLevelType w:val="hybridMultilevel"/>
    <w:tmpl w:val="392E296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5F534E8"/>
    <w:multiLevelType w:val="hybridMultilevel"/>
    <w:tmpl w:val="A77CF4A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E79"/>
    <w:rsid w:val="00046B43"/>
    <w:rsid w:val="000F18A1"/>
    <w:rsid w:val="000F4B40"/>
    <w:rsid w:val="002B040C"/>
    <w:rsid w:val="002C56CF"/>
    <w:rsid w:val="00351C67"/>
    <w:rsid w:val="00403AD2"/>
    <w:rsid w:val="004E3A34"/>
    <w:rsid w:val="0059637D"/>
    <w:rsid w:val="005E4597"/>
    <w:rsid w:val="00755005"/>
    <w:rsid w:val="007962D7"/>
    <w:rsid w:val="008D6E01"/>
    <w:rsid w:val="00933D7D"/>
    <w:rsid w:val="009F3E79"/>
    <w:rsid w:val="00AA4839"/>
    <w:rsid w:val="00AB729A"/>
    <w:rsid w:val="00B02855"/>
    <w:rsid w:val="00B47627"/>
    <w:rsid w:val="00BB4079"/>
    <w:rsid w:val="00BF492D"/>
    <w:rsid w:val="00C43913"/>
    <w:rsid w:val="00C9065E"/>
    <w:rsid w:val="00D03BD8"/>
    <w:rsid w:val="00D430BB"/>
    <w:rsid w:val="00D473D2"/>
    <w:rsid w:val="00ED5406"/>
    <w:rsid w:val="00EE4C26"/>
    <w:rsid w:val="00FF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19040-D5D4-4CDC-BA18-F3E2C01F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7627"/>
    <w:pPr>
      <w:spacing w:after="0"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F1C38"/>
    <w:pPr>
      <w:keepNext/>
      <w:keepLines/>
      <w:spacing w:before="240"/>
      <w:ind w:firstLine="0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F1C38"/>
    <w:pPr>
      <w:keepNext/>
      <w:keepLines/>
      <w:spacing w:before="40"/>
      <w:ind w:firstLine="0"/>
      <w:jc w:val="left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F1C38"/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Bezmezer">
    <w:name w:val="No Spacing"/>
    <w:uiPriority w:val="1"/>
    <w:qFormat/>
    <w:rsid w:val="00933D7D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FF1C38"/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Odstavecseseznamem">
    <w:name w:val="List Paragraph"/>
    <w:basedOn w:val="Normln"/>
    <w:uiPriority w:val="34"/>
    <w:qFormat/>
    <w:rsid w:val="00C43913"/>
    <w:pPr>
      <w:ind w:left="720"/>
      <w:contextualSpacing/>
    </w:pPr>
  </w:style>
  <w:style w:type="character" w:customStyle="1" w:styleId="MathematicaFormatInputForm">
    <w:name w:val="MathematicaFormatInputForm"/>
    <w:uiPriority w:val="99"/>
    <w:rsid w:val="00AB729A"/>
    <w:rPr>
      <w:rFonts w:ascii="Courier" w:hAnsi="Courier" w:cs="Courier"/>
    </w:rPr>
  </w:style>
  <w:style w:type="paragraph" w:styleId="Zhlav">
    <w:name w:val="header"/>
    <w:basedOn w:val="Normln"/>
    <w:link w:val="ZhlavChar"/>
    <w:uiPriority w:val="99"/>
    <w:unhideWhenUsed/>
    <w:rsid w:val="00D430B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30B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430B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30BB"/>
    <w:rPr>
      <w:rFonts w:ascii="Times New Roman" w:hAnsi="Times New Roman"/>
      <w:sz w:val="24"/>
    </w:rPr>
  </w:style>
  <w:style w:type="table" w:customStyle="1" w:styleId="Mkatabulky1">
    <w:name w:val="Mřížka tabulky1"/>
    <w:basedOn w:val="Normlntabulka"/>
    <w:next w:val="Mkatabulky"/>
    <w:uiPriority w:val="59"/>
    <w:rsid w:val="00D43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D43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E4C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C26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AA4839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C9D8B-5892-4D46-B6F5-67D4E6D8C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460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14</cp:revision>
  <dcterms:created xsi:type="dcterms:W3CDTF">2013-11-13T09:50:00Z</dcterms:created>
  <dcterms:modified xsi:type="dcterms:W3CDTF">2014-09-09T10:49:00Z</dcterms:modified>
</cp:coreProperties>
</file>