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8C63BF" w:rsidP="00DD5D98">
            <w:r>
              <w:t>Markéta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8C63BF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7A0430" w:rsidP="007A0430">
            <w:r>
              <w:t>Kvadratická funkce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8C63BF" w:rsidP="00DD5D98">
            <w:r>
              <w:t>Funkce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0A55BB" w:rsidRDefault="007A0430" w:rsidP="00DD5D98">
      <w:r>
        <w:t>Materiál zavádí kvadratickou funkci, uvádí její definici, vlastnosti a graf.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112A44" w:rsidRPr="007A0430" w:rsidRDefault="007A0430" w:rsidP="00112A44">
      <w:pPr>
        <w:rPr>
          <w:oMath/>
          <w:rFonts w:ascii="Cambria Math" w:eastAsiaTheme="minorEastAsia" w:hAnsi="Cambria Math"/>
        </w:rPr>
      </w:pPr>
      <w:r>
        <w:t>Využití materiálu je jako jedna z pomůcek při výkladu funkcí</w:t>
      </w:r>
      <w:r w:rsidR="00454ABF">
        <w:t>.</w:t>
      </w:r>
      <w:r w:rsidR="00112A44">
        <w:t xml:space="preserve"> </w:t>
      </w:r>
      <w:r>
        <w:t xml:space="preserve">V úvodu je nadefinována kvadratická funkce, její předpis, název grafu a definiční obor funkce.Dále je uveden příklad, který se věnuje zavedení grafu kvadratické funkce (je vytvořena tabulka pro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y= 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a z bodů pak graf). Následuje rozbor předpisu funkce a výklad významu jednotlivých parametrů pro tvar grafu. Dále jsou uvedeny příklady, které znázorňují grafy kvadratické funkce.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DA4F7B" w:rsidRDefault="00DA4F7B" w:rsidP="00DA4F7B">
      <w:r>
        <w:t>Použité funkce:</w:t>
      </w:r>
    </w:p>
    <w:p w:rsidR="00DA4F7B" w:rsidRDefault="00DA4F7B" w:rsidP="00DA4F7B">
      <w:r>
        <w:t>Plot - vykreslí graf funkce</w:t>
      </w:r>
    </w:p>
    <w:p w:rsidR="00F62EC9" w:rsidRDefault="00F62EC9" w:rsidP="00F62EC9">
      <w:pPr>
        <w:pStyle w:val="MathematicaCellInput"/>
        <w:rPr>
          <w:rStyle w:val="MathematicaFormatStandardForm"/>
          <w:rFonts w:asciiTheme="minorHAnsi" w:hAnsiTheme="minorHAnsi"/>
          <w:b w:val="0"/>
          <w:sz w:val="22"/>
          <w:szCs w:val="22"/>
        </w:rPr>
      </w:pPr>
      <w:proofErr w:type="spellStart"/>
      <w:r w:rsidRPr="00F62EC9">
        <w:rPr>
          <w:rStyle w:val="MathematicaFormatStandardForm"/>
          <w:rFonts w:asciiTheme="minorHAnsi" w:hAnsiTheme="minorHAnsi"/>
          <w:b w:val="0"/>
          <w:sz w:val="22"/>
          <w:szCs w:val="22"/>
        </w:rPr>
        <w:t>sez</w:t>
      </w:r>
      <w:proofErr w:type="spellEnd"/>
      <w:r w:rsidRPr="00F62EC9">
        <w:rPr>
          <w:rStyle w:val="MathematicaFormatStandardForm"/>
          <w:rFonts w:asciiTheme="minorHAnsi" w:hAnsiTheme="minorHAnsi"/>
          <w:b w:val="0"/>
          <w:sz w:val="22"/>
          <w:szCs w:val="22"/>
        </w:rPr>
        <w:t>=Table[{x,x</w:t>
      </w:r>
      <w:r w:rsidRPr="00F62EC9">
        <w:rPr>
          <w:rStyle w:val="MathematicaFormatStandardForm"/>
          <w:rFonts w:asciiTheme="minorHAnsi" w:hAnsiTheme="minorHAnsi"/>
          <w:b w:val="0"/>
          <w:sz w:val="22"/>
          <w:szCs w:val="22"/>
          <w:vertAlign w:val="superscript"/>
        </w:rPr>
        <w:t>2</w:t>
      </w:r>
      <w:r w:rsidRPr="00F62EC9">
        <w:rPr>
          <w:rStyle w:val="MathematicaFormatStandardForm"/>
          <w:rFonts w:asciiTheme="minorHAnsi" w:hAnsiTheme="minorHAnsi"/>
          <w:b w:val="0"/>
          <w:sz w:val="22"/>
          <w:szCs w:val="22"/>
        </w:rPr>
        <w:t>},{x,-10,10,.5}]</w:t>
      </w:r>
      <w:r>
        <w:rPr>
          <w:rStyle w:val="MathematicaFormatStandardForm"/>
          <w:rFonts w:asciiTheme="minorHAnsi" w:hAnsiTheme="minorHAnsi"/>
          <w:b w:val="0"/>
          <w:sz w:val="22"/>
          <w:szCs w:val="22"/>
        </w:rPr>
        <w:t xml:space="preserve"> - vytvoří seznam bodů funkce podle předpisu</w:t>
      </w:r>
    </w:p>
    <w:p w:rsidR="00F62EC9" w:rsidRDefault="00F62EC9" w:rsidP="00F62EC9">
      <w:pPr>
        <w:pStyle w:val="MathematicaCellInput"/>
        <w:rPr>
          <w:rStyle w:val="MathematicaFormatStandardForm"/>
          <w:rFonts w:asciiTheme="minorHAnsi" w:hAnsiTheme="minorHAnsi"/>
          <w:b w:val="0"/>
          <w:sz w:val="22"/>
          <w:szCs w:val="22"/>
        </w:rPr>
      </w:pPr>
    </w:p>
    <w:p w:rsidR="00F62EC9" w:rsidRDefault="00F62EC9" w:rsidP="00F62EC9">
      <w:pPr>
        <w:pStyle w:val="MathematicaCellInput"/>
        <w:rPr>
          <w:rStyle w:val="MathematicaFormatStandardForm"/>
          <w:rFonts w:asciiTheme="minorHAnsi" w:hAnsiTheme="minorHAnsi"/>
          <w:b w:val="0"/>
          <w:sz w:val="22"/>
          <w:szCs w:val="22"/>
        </w:rPr>
      </w:pPr>
      <w:r>
        <w:rPr>
          <w:rStyle w:val="MathematicaFormatStandardForm"/>
          <w:rFonts w:asciiTheme="minorHAnsi" w:hAnsiTheme="minorHAnsi"/>
          <w:b w:val="0"/>
          <w:sz w:val="22"/>
          <w:szCs w:val="22"/>
        </w:rPr>
        <w:t xml:space="preserve">soustava následujících příkazů vytvoří tabulku: </w:t>
      </w:r>
    </w:p>
    <w:p w:rsidR="00F62EC9" w:rsidRDefault="00F62EC9" w:rsidP="00F62EC9">
      <w:pPr>
        <w:pStyle w:val="MathematicaCellInput"/>
        <w:rPr>
          <w:rStyle w:val="MathematicaFormatStandardForm"/>
          <w:rFonts w:asciiTheme="minorHAnsi" w:hAnsiTheme="minorHAnsi"/>
          <w:b w:val="0"/>
          <w:sz w:val="22"/>
          <w:szCs w:val="22"/>
        </w:rPr>
      </w:pPr>
    </w:p>
    <w:p w:rsidR="00F62EC9" w:rsidRPr="00F62EC9" w:rsidRDefault="00F62EC9" w:rsidP="00F62EC9">
      <w:pPr>
        <w:pStyle w:val="MathematicaCellInput"/>
        <w:jc w:val="both"/>
        <w:rPr>
          <w:rStyle w:val="MathematicaFormatStandardForm"/>
          <w:rFonts w:asciiTheme="minorHAnsi" w:hAnsiTheme="minorHAnsi" w:cs="Times New Roman"/>
          <w:b w:val="0"/>
          <w:sz w:val="22"/>
          <w:szCs w:val="22"/>
        </w:rPr>
      </w:pPr>
      <w:r w:rsidRPr="00F62EC9">
        <w:rPr>
          <w:rStyle w:val="MathematicaFormatStandardForm"/>
          <w:rFonts w:asciiTheme="minorHAnsi" w:hAnsiTheme="minorHAnsi" w:cs="Times New Roman"/>
          <w:b w:val="0"/>
          <w:sz w:val="22"/>
          <w:szCs w:val="22"/>
        </w:rPr>
        <w:t>t=Table[{x,x</w:t>
      </w:r>
      <w:r w:rsidRPr="00F62EC9">
        <w:rPr>
          <w:rStyle w:val="MathematicaFormatStandardForm"/>
          <w:rFonts w:asciiTheme="minorHAnsi" w:hAnsiTheme="minorHAnsi" w:cs="Times New Roman"/>
          <w:b w:val="0"/>
          <w:sz w:val="22"/>
          <w:szCs w:val="22"/>
          <w:vertAlign w:val="superscript"/>
        </w:rPr>
        <w:t>2</w:t>
      </w:r>
      <w:r w:rsidRPr="00F62EC9">
        <w:rPr>
          <w:rStyle w:val="MathematicaFormatStandardForm"/>
          <w:rFonts w:asciiTheme="minorHAnsi" w:hAnsiTheme="minorHAnsi" w:cs="Times New Roman"/>
          <w:b w:val="0"/>
          <w:sz w:val="22"/>
          <w:szCs w:val="22"/>
        </w:rPr>
        <w:t>},{x,{-5,-4.5,-4,-3.5,-3,-2.5,-2,-1.5,-1,-0.5,0,0.5,1,1.5,2,2.5,3,3.5,4,4.5,5}}]</w:t>
      </w:r>
    </w:p>
    <w:p w:rsidR="00F62EC9" w:rsidRPr="00F62EC9" w:rsidRDefault="00F62EC9" w:rsidP="00F62EC9">
      <w:pPr>
        <w:pStyle w:val="MathematicaCellInput"/>
        <w:jc w:val="both"/>
        <w:rPr>
          <w:rFonts w:asciiTheme="minorHAnsi" w:eastAsiaTheme="minorEastAsia" w:hAnsiTheme="minorHAnsi" w:cs="Times New Roman"/>
          <w:b w:val="0"/>
          <w:sz w:val="22"/>
          <w:szCs w:val="22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Theme="minorHAnsi" w:cs="Times New Roman"/>
              <w:sz w:val="22"/>
              <w:szCs w:val="22"/>
            </w:rPr>
            <m:t>PrependTo</m:t>
          </m:r>
          <m:d>
            <m:dPr>
              <m:begChr m:val="["/>
              <m:endChr m:val="]"/>
              <m:ctrlPr>
                <w:rPr>
                  <w:rFonts w:ascii="Cambria Math" w:hAnsiTheme="minorHAnsi" w:cs="Times New Roman"/>
                  <w:b w:val="0"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2"/>
                  <w:szCs w:val="22"/>
                </w:rPr>
                <m:t>t</m:t>
              </m:r>
              <m:r>
                <m:rPr>
                  <m:sty m:val="bi"/>
                </m:rPr>
                <w:rPr>
                  <w:rFonts w:ascii="Cambria Math" w:hAnsiTheme="minorHAnsi" w:cs="Times New Roman"/>
                  <w:sz w:val="22"/>
                  <w:szCs w:val="22"/>
                </w:rPr>
                <m:t>,</m:t>
              </m:r>
              <m:d>
                <m:dPr>
                  <m:begChr m:val="{"/>
                  <m:endChr m:val="}"/>
                  <m:ctrlPr>
                    <w:rPr>
                      <w:rFonts w:ascii="Cambria Math" w:hAnsiTheme="minorHAnsi" w:cs="Times New Roman"/>
                      <w:b w:val="0"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inorHAnsi" w:hAnsiTheme="minorHAnsi" w:cs="Times New Roman"/>
                      <w:b w:val="0"/>
                      <w:sz w:val="22"/>
                      <w:szCs w:val="22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Theme="minorHAnsi" w:cs="Times New Roman"/>
                      <w:sz w:val="22"/>
                      <w:szCs w:val="22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Theme="minorHAnsi" w:cs="Times New Roman"/>
                          <w:b w:val="0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Theme="minorHAnsi" w:cs="Times New Roman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Theme="minorHAnsi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d>
            </m:e>
          </m:d>
        </m:oMath>
      </m:oMathPara>
    </w:p>
    <w:p w:rsidR="00F62EC9" w:rsidRPr="00F62EC9" w:rsidRDefault="00F62EC9" w:rsidP="00F62EC9">
      <w:pPr>
        <w:pStyle w:val="MathematicaCellInput"/>
        <w:jc w:val="both"/>
        <w:rPr>
          <w:rStyle w:val="MathematicaFormatStandardForm"/>
          <w:rFonts w:asciiTheme="minorHAnsi" w:eastAsiaTheme="minorEastAsia" w:hAnsiTheme="minorHAnsi" w:cs="Times New Roman"/>
          <w:b w:val="0"/>
          <w:sz w:val="22"/>
          <w:szCs w:val="22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Theme="minorHAnsi" w:cs="Times New Roman"/>
              <w:sz w:val="22"/>
              <w:szCs w:val="22"/>
            </w:rPr>
            <m:t>Grid</m:t>
          </m:r>
          <m:r>
            <m:rPr>
              <m:sty m:val="bi"/>
            </m:rPr>
            <w:rPr>
              <w:rFonts w:ascii="Cambria Math" w:hAnsiTheme="minorHAnsi" w:cs="Times New Roman"/>
              <w:sz w:val="22"/>
              <w:szCs w:val="22"/>
            </w:rPr>
            <m:t>[</m:t>
          </m:r>
          <m:r>
            <m:rPr>
              <m:sty m:val="bi"/>
            </m:rPr>
            <w:rPr>
              <w:rFonts w:ascii="Cambria Math" w:hAnsi="Cambria Math" w:cs="Times New Roman"/>
              <w:sz w:val="22"/>
              <w:szCs w:val="22"/>
            </w:rPr>
            <m:t>t</m:t>
          </m:r>
          <m:r>
            <m:rPr>
              <m:sty m:val="bi"/>
            </m:rPr>
            <w:rPr>
              <w:rFonts w:ascii="Cambria Math" w:hAnsiTheme="minorHAnsi" w:cs="Times New Roman"/>
              <w:sz w:val="22"/>
              <w:szCs w:val="22"/>
            </w:rPr>
            <m:t>//</m:t>
          </m:r>
          <m:r>
            <m:rPr>
              <m:sty m:val="b"/>
            </m:rPr>
            <w:rPr>
              <w:rFonts w:ascii="Cambria Math" w:hAnsiTheme="minorHAnsi" w:cs="Times New Roman"/>
              <w:sz w:val="22"/>
              <w:szCs w:val="22"/>
            </w:rPr>
            <m:t>Transpose</m:t>
          </m:r>
          <m:r>
            <m:rPr>
              <m:sty m:val="bi"/>
            </m:rPr>
            <w:rPr>
              <w:rFonts w:ascii="Cambria Math" w:hAnsiTheme="minorHAnsi" w:cs="Times New Roman"/>
              <w:sz w:val="22"/>
              <w:szCs w:val="22"/>
            </w:rPr>
            <m:t>,</m:t>
          </m:r>
          <m:r>
            <m:rPr>
              <m:sty m:val="b"/>
            </m:rPr>
            <w:rPr>
              <w:rFonts w:ascii="Cambria Math" w:hAnsiTheme="minorHAnsi" w:cs="Times New Roman"/>
              <w:sz w:val="22"/>
              <w:szCs w:val="22"/>
            </w:rPr>
            <m:t>Frame</m:t>
          </m:r>
          <m:r>
            <m:rPr>
              <m:sty m:val="bi"/>
            </m:rPr>
            <w:rPr>
              <w:rFonts w:ascii="Cambria Math" w:hAnsi="Cambria Math" w:cs="Times New Roman"/>
              <w:sz w:val="22"/>
              <w:szCs w:val="22"/>
            </w:rPr>
            <m:t>→</m:t>
          </m:r>
          <m:r>
            <m:rPr>
              <m:sty m:val="b"/>
            </m:rPr>
            <w:rPr>
              <w:rFonts w:ascii="Cambria Math" w:hAnsiTheme="minorHAnsi" w:cs="Times New Roman"/>
              <w:sz w:val="22"/>
              <w:szCs w:val="22"/>
            </w:rPr>
            <m:t>All</m:t>
          </m:r>
          <m:r>
            <m:rPr>
              <m:sty m:val="bi"/>
            </m:rPr>
            <w:rPr>
              <w:rFonts w:ascii="Cambria Math" w:hAnsiTheme="minorHAnsi" w:cs="Times New Roman"/>
              <w:sz w:val="22"/>
              <w:szCs w:val="22"/>
            </w:rPr>
            <m:t>]</m:t>
          </m:r>
        </m:oMath>
      </m:oMathPara>
    </w:p>
    <w:p w:rsidR="00D80BAE" w:rsidRDefault="00D80BAE" w:rsidP="00DA4F7B">
      <w:pPr>
        <w:rPr>
          <w:rFonts w:eastAsiaTheme="minorEastAsia"/>
        </w:rPr>
      </w:pPr>
    </w:p>
    <w:p w:rsidR="00F62EC9" w:rsidRDefault="00F62EC9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/>
          </w:rPr>
          <m:t>ListPlot</m:t>
        </m:r>
        <m:r>
          <w:rPr>
            <w:rFonts w:ascii="Cambria Math"/>
          </w:rPr>
          <m:t>[</m:t>
        </m:r>
        <m:r>
          <m:rPr>
            <m:sty m:val="p"/>
          </m:rPr>
          <w:rPr>
            <w:rFonts w:ascii="Cambria Math"/>
          </w:rPr>
          <m:t>sez</m:t>
        </m:r>
        <m:r>
          <w:rPr>
            <w:rFonts w:ascii="Cambria Math"/>
          </w:rPr>
          <m:t>]</m:t>
        </m:r>
      </m:oMath>
      <w:r>
        <w:rPr>
          <w:rFonts w:eastAsiaTheme="minorEastAsia"/>
        </w:rPr>
        <w:t xml:space="preserve"> - podle daného seznamu nakreslí graf - jednotlivé body grafu</w:t>
      </w:r>
    </w:p>
    <w:p w:rsidR="007C0154" w:rsidRDefault="007C0154" w:rsidP="007C0154">
      <w:proofErr w:type="spellStart"/>
      <w:r>
        <w:t>Manipulate</w:t>
      </w:r>
      <w:proofErr w:type="spellEnd"/>
      <w:r>
        <w:t xml:space="preserve"> - Ve spojení s funkcí Plot dokáže zobrazit plynulý posun funkce podle daného parametru. V tomto případě posun kvadratické  funkce po ose x i </w:t>
      </w:r>
      <w:proofErr w:type="spellStart"/>
      <w:r>
        <w:t>y</w:t>
      </w:r>
      <w:proofErr w:type="spellEnd"/>
      <w:r>
        <w:t xml:space="preserve">. </w:t>
      </w:r>
    </w:p>
    <w:p w:rsidR="00923225" w:rsidRDefault="005E3A75" w:rsidP="00923225">
      <w:pPr>
        <w:pStyle w:val="Nadpis1"/>
      </w:pPr>
      <w:r>
        <w:lastRenderedPageBreak/>
        <w:t>Shrnutí</w:t>
      </w:r>
    </w:p>
    <w:p w:rsidR="007C0154" w:rsidRPr="007C0154" w:rsidRDefault="007C0154" w:rsidP="007C0154">
      <w:r>
        <w:t xml:space="preserve">Studenti se pomocí materiálu seznámili s grafem kvadratické funkce. Materiál vyučují usnadnil práci při zobrazování grafu. Graf funkce je přesnější než při kreslení na tabuli. Užitím příkazu </w:t>
      </w:r>
      <w:proofErr w:type="spellStart"/>
      <w:r>
        <w:t>Manipulate</w:t>
      </w:r>
      <w:proofErr w:type="spellEnd"/>
      <w:r>
        <w:t xml:space="preserve"> je velmi dobře vidět význam jednotlivých parametrů funkce. Zejména význam kladného a záporného koeficientu u kvadratického členu. Studenti si vše dobře zapamatovali.</w:t>
      </w:r>
    </w:p>
    <w:sectPr w:rsidR="007C0154" w:rsidRPr="007C0154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62" w:rsidRDefault="00B43462" w:rsidP="00DD5D98">
      <w:pPr>
        <w:spacing w:after="0" w:line="240" w:lineRule="auto"/>
      </w:pPr>
      <w:r>
        <w:separator/>
      </w:r>
    </w:p>
  </w:endnote>
  <w:endnote w:type="continuationSeparator" w:id="0">
    <w:p w:rsidR="00B43462" w:rsidRDefault="00B43462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62" w:rsidRDefault="00B43462" w:rsidP="00DD5D98">
      <w:pPr>
        <w:spacing w:after="0" w:line="240" w:lineRule="auto"/>
      </w:pPr>
      <w:r>
        <w:separator/>
      </w:r>
    </w:p>
  </w:footnote>
  <w:footnote w:type="continuationSeparator" w:id="0">
    <w:p w:rsidR="00B43462" w:rsidRDefault="00B43462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4077C"/>
    <w:rsid w:val="000539E1"/>
    <w:rsid w:val="000A55BB"/>
    <w:rsid w:val="000D3043"/>
    <w:rsid w:val="00100298"/>
    <w:rsid w:val="001015D6"/>
    <w:rsid w:val="00104B10"/>
    <w:rsid w:val="00112A44"/>
    <w:rsid w:val="00196AFB"/>
    <w:rsid w:val="001B7E39"/>
    <w:rsid w:val="001C027D"/>
    <w:rsid w:val="00205A03"/>
    <w:rsid w:val="00207CC4"/>
    <w:rsid w:val="002138FD"/>
    <w:rsid w:val="00272D76"/>
    <w:rsid w:val="0029218D"/>
    <w:rsid w:val="0029514D"/>
    <w:rsid w:val="003261B2"/>
    <w:rsid w:val="00343676"/>
    <w:rsid w:val="003B02B7"/>
    <w:rsid w:val="003F3CEE"/>
    <w:rsid w:val="00454ABF"/>
    <w:rsid w:val="004C70DC"/>
    <w:rsid w:val="00550E44"/>
    <w:rsid w:val="0059209F"/>
    <w:rsid w:val="005D1B63"/>
    <w:rsid w:val="005E3A75"/>
    <w:rsid w:val="006173DC"/>
    <w:rsid w:val="00650990"/>
    <w:rsid w:val="00687B6A"/>
    <w:rsid w:val="006D2868"/>
    <w:rsid w:val="00732ECA"/>
    <w:rsid w:val="00752154"/>
    <w:rsid w:val="007565E0"/>
    <w:rsid w:val="00772FC6"/>
    <w:rsid w:val="00780214"/>
    <w:rsid w:val="007A0430"/>
    <w:rsid w:val="007C0154"/>
    <w:rsid w:val="007C0329"/>
    <w:rsid w:val="008350B8"/>
    <w:rsid w:val="008668DE"/>
    <w:rsid w:val="008C63BF"/>
    <w:rsid w:val="008E6B67"/>
    <w:rsid w:val="008F57E1"/>
    <w:rsid w:val="00923225"/>
    <w:rsid w:val="009259BE"/>
    <w:rsid w:val="009A3F76"/>
    <w:rsid w:val="00A328C8"/>
    <w:rsid w:val="00A5035B"/>
    <w:rsid w:val="00A83D48"/>
    <w:rsid w:val="00AA4A55"/>
    <w:rsid w:val="00B43462"/>
    <w:rsid w:val="00B50224"/>
    <w:rsid w:val="00BB055A"/>
    <w:rsid w:val="00BF1EBE"/>
    <w:rsid w:val="00C17952"/>
    <w:rsid w:val="00D80BAE"/>
    <w:rsid w:val="00DA1AB9"/>
    <w:rsid w:val="00DA4F7B"/>
    <w:rsid w:val="00DA63D9"/>
    <w:rsid w:val="00DC2D1B"/>
    <w:rsid w:val="00DD5D98"/>
    <w:rsid w:val="00DE5ABA"/>
    <w:rsid w:val="00E41E17"/>
    <w:rsid w:val="00EF516C"/>
    <w:rsid w:val="00EF7FC9"/>
    <w:rsid w:val="00F40B6B"/>
    <w:rsid w:val="00F62EC9"/>
    <w:rsid w:val="00F7729A"/>
    <w:rsid w:val="00FD09F5"/>
    <w:rsid w:val="00FE505D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paragraph" w:customStyle="1" w:styleId="MathematicaCellInput">
    <w:name w:val="MathematicaCellInput"/>
    <w:rsid w:val="00F62EC9"/>
    <w:pPr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B56E2-9759-4BA9-86F3-62BF8025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2015-02-22T14:37:00Z</dcterms:created>
  <dcterms:modified xsi:type="dcterms:W3CDTF">2015-02-22T15:02:00Z</dcterms:modified>
</cp:coreProperties>
</file>