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E4" w:rsidRDefault="00B665E4" w:rsidP="00B665E4">
      <w:pPr>
        <w:pStyle w:val="Bezmezer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475E49">
        <w:rPr>
          <w:rFonts w:asciiTheme="majorHAnsi" w:hAnsiTheme="majorHAnsi"/>
          <w:b/>
          <w:color w:val="1F497D" w:themeColor="text2"/>
          <w:sz w:val="28"/>
          <w:szCs w:val="28"/>
        </w:rPr>
        <w:t>Metodický pokyn</w:t>
      </w:r>
    </w:p>
    <w:p w:rsidR="00DD5D98" w:rsidRDefault="00DD5D98" w:rsidP="00DD5D98"/>
    <w:p w:rsidR="00732ECA" w:rsidRPr="00DD5D98" w:rsidRDefault="00732ECA" w:rsidP="003F3CEE">
      <w:pPr>
        <w:pStyle w:val="Bezmezer"/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E339B" w:rsidP="00DD5D98">
            <w:r>
              <w:t>Jaroslava Švecová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E339B" w:rsidP="00DD5D98">
            <w:r>
              <w:t>Základy elektrotechniky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31071F" w:rsidP="00DD5D98">
            <w:r>
              <w:t>Střídavý výkon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4F5B0C" w:rsidP="0031071F">
            <w:proofErr w:type="spellStart"/>
            <w:r>
              <w:t>Stridavy</w:t>
            </w:r>
            <w:proofErr w:type="spellEnd"/>
            <w:r>
              <w:t xml:space="preserve"> </w:t>
            </w:r>
            <w:proofErr w:type="spellStart"/>
            <w:r w:rsidR="0031071F">
              <w:t>vykon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E633EA" w:rsidP="00DD5D98">
      <w:r>
        <w:t xml:space="preserve">Tento materiál je určen pro předmět Základy elektrotechniky 2. roč. (resp. Elektronika). Probíraná látka je </w:t>
      </w:r>
      <w:r w:rsidR="00014795">
        <w:t>„</w:t>
      </w:r>
      <w:r w:rsidR="004F5B0C">
        <w:t xml:space="preserve">Střídavý </w:t>
      </w:r>
      <w:r w:rsidR="0031071F">
        <w:t>výkon</w:t>
      </w:r>
      <w:r w:rsidR="00014795">
        <w:t>“</w:t>
      </w:r>
      <w:r w:rsidR="00463C86">
        <w:t xml:space="preserve">, </w:t>
      </w:r>
      <w:r w:rsidR="004F5B0C">
        <w:t>což</w:t>
      </w:r>
      <w:r w:rsidR="00463C86">
        <w:t xml:space="preserve"> </w:t>
      </w:r>
      <w:r w:rsidR="00014795">
        <w:t>je</w:t>
      </w:r>
      <w:r w:rsidR="00463C86">
        <w:t xml:space="preserve"> </w:t>
      </w:r>
      <w:r w:rsidR="0031071F">
        <w:t>součástí kapitoly</w:t>
      </w:r>
      <w:r w:rsidR="00463C86">
        <w:t xml:space="preserve"> </w:t>
      </w:r>
      <w:r w:rsidR="0031071F">
        <w:t xml:space="preserve">o </w:t>
      </w:r>
      <w:r w:rsidR="004F5B0C">
        <w:t xml:space="preserve">řešení střídavých obvodů </w:t>
      </w:r>
      <w:r w:rsidR="00463C86">
        <w:t>v daném předmětu.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EC35B1" w:rsidP="00DD5D98">
      <w:r>
        <w:t xml:space="preserve">Materiál slouží vyučujícím a žákům oboru Elektrotechnika. Žáci by měli mít </w:t>
      </w:r>
      <w:r w:rsidR="00405C0E">
        <w:t>znalosti o střídavých veličinách a rozumět pojmům amplituda, frekvence, fázový posun atd.</w:t>
      </w:r>
      <w:r>
        <w:t xml:space="preserve"> Předpokládá se znalost matematických pojmů </w:t>
      </w:r>
      <w:r w:rsidR="00405C0E">
        <w:t>sinusová (harmonická) funkce, její popis a grafické vyjádření</w:t>
      </w:r>
      <w:r>
        <w:t xml:space="preserve">. </w:t>
      </w:r>
      <w:r w:rsidR="00F3299C">
        <w:t>Hlavním cílem je grafické zobrazení průběh</w:t>
      </w:r>
      <w:r w:rsidR="00B270D2">
        <w:t>u proudu</w:t>
      </w:r>
      <w:r w:rsidR="0031071F">
        <w:t>,</w:t>
      </w:r>
      <w:r w:rsidR="00F3299C">
        <w:t xml:space="preserve"> napětí</w:t>
      </w:r>
      <w:r w:rsidR="0031071F">
        <w:t xml:space="preserve"> a výkonu </w:t>
      </w:r>
      <w:r w:rsidR="00F3299C">
        <w:t>v závislosti na čase</w:t>
      </w:r>
      <w:r w:rsidR="00DF3E58">
        <w:t>.</w:t>
      </w:r>
      <w:r w:rsidR="00F3299C">
        <w:t xml:space="preserve"> Dále je možné sledovat vliv změny </w:t>
      </w:r>
      <w:r w:rsidR="003D4ABE">
        <w:t>fázového posunu mezi proudem a napětím</w:t>
      </w:r>
      <w:r w:rsidR="00F3299C">
        <w:t xml:space="preserve"> na </w:t>
      </w:r>
      <w:r w:rsidR="00DF3E58">
        <w:t>průběh</w:t>
      </w:r>
      <w:r w:rsidR="003D4ABE">
        <w:t xml:space="preserve"> okamžitého výkonu</w:t>
      </w:r>
      <w:r w:rsidR="00F3299C">
        <w:t>.</w:t>
      </w:r>
      <w:r w:rsidR="003D4ABE">
        <w:t xml:space="preserve"> </w:t>
      </w:r>
      <w:r w:rsidR="00F3299C">
        <w:t xml:space="preserve"> První část souboru je určena k demonstrování dané problematiky vyučujícím. Na konci jsou příklady na praktické procvičení určené pro žáky s pomocí vyučujícího.</w:t>
      </w:r>
      <w:r w:rsidR="00014795">
        <w:t xml:space="preserve"> Cílem je, aby žáci získali představu o průběhu</w:t>
      </w:r>
      <w:r w:rsidR="00B270D2">
        <w:t xml:space="preserve"> střídavého</w:t>
      </w:r>
      <w:r w:rsidR="00B270D2" w:rsidRPr="00B270D2">
        <w:t xml:space="preserve"> </w:t>
      </w:r>
      <w:r w:rsidR="00B270D2">
        <w:t>proudu (</w:t>
      </w:r>
      <w:r w:rsidR="00193CFC">
        <w:t>napětí</w:t>
      </w:r>
      <w:r w:rsidR="00B270D2">
        <w:t>)</w:t>
      </w:r>
      <w:r w:rsidR="00193CFC">
        <w:t xml:space="preserve"> </w:t>
      </w:r>
      <w:r w:rsidR="00DF3E58">
        <w:t>a co jej ovlivňuje.</w:t>
      </w:r>
      <w:r w:rsidR="00014795">
        <w:t xml:space="preserve"> Při ukázce žák použije program Wolfram </w:t>
      </w:r>
      <w:proofErr w:type="spellStart"/>
      <w:r w:rsidR="00014795">
        <w:t>Mathematica</w:t>
      </w:r>
      <w:proofErr w:type="spellEnd"/>
      <w:r w:rsidR="00014795">
        <w:t xml:space="preserve"> pasivně. Při samotném procvičování na příkladech používá</w:t>
      </w:r>
      <w:r w:rsidR="003F3CEE">
        <w:t xml:space="preserve"> </w:t>
      </w:r>
      <w:proofErr w:type="spellStart"/>
      <w:r w:rsidR="00014795">
        <w:t>Mathematicu</w:t>
      </w:r>
      <w:proofErr w:type="spellEnd"/>
      <w:r w:rsidR="00014795">
        <w:t xml:space="preserve"> aktivně.</w:t>
      </w:r>
    </w:p>
    <w:p w:rsidR="00923225" w:rsidRDefault="00923225" w:rsidP="00DD5D98"/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3D4ABE" w:rsidRDefault="00A6361E" w:rsidP="00DE66D8">
      <w:pPr>
        <w:rPr>
          <w:rFonts w:eastAsiaTheme="minorEastAsia"/>
        </w:rPr>
      </w:pPr>
      <w:r>
        <w:t xml:space="preserve">V tomto souboru byly využity příkazy </w:t>
      </w:r>
      <m:oMath>
        <m:r>
          <m:rPr>
            <m:sty m:val="p"/>
          </m:rPr>
          <w:rPr>
            <w:rFonts w:ascii="Cambria Math" w:hAnsi="Cambria Math"/>
          </w:rPr>
          <m:t>Plot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AxesLabel</m:t>
        </m:r>
      </m:oMath>
      <w:r>
        <w:rPr>
          <w:rFonts w:eastAsiaTheme="minor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Ticks</m:t>
        </m:r>
      </m:oMath>
      <w:r w:rsidR="00460DD5">
        <w:rPr>
          <w:rFonts w:eastAsiaTheme="minorEastAsia"/>
        </w:rPr>
        <w:t>.</w:t>
      </w:r>
      <w:r w:rsidR="00E12C69">
        <w:rPr>
          <w:rFonts w:eastAsiaTheme="minorEastAsia"/>
        </w:rPr>
        <w:t xml:space="preserve"> Nejprve musí být definovaná funkce</w:t>
      </w:r>
      <w:r w:rsidR="00BA3E92">
        <w:rPr>
          <w:rFonts w:eastAsiaTheme="minorEastAsia"/>
        </w:rPr>
        <w:t>,</w:t>
      </w:r>
      <w:r w:rsidR="00E12C69">
        <w:rPr>
          <w:rFonts w:eastAsiaTheme="minorEastAsia"/>
        </w:rPr>
        <w:t xml:space="preserve"> jako např</w:t>
      </w:r>
      <w:r w:rsidR="003D4ABE"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i[</m:t>
        </m:r>
        <m:r>
          <m:rPr>
            <m:sty m:val="p"/>
          </m:rPr>
          <w:rPr>
            <w:rFonts w:ascii="Cambria Math" w:eastAsiaTheme="minorEastAsia" w:hAnsi="Cambria Math"/>
          </w:rPr>
          <m:t>t_</m:t>
        </m:r>
        <m:r>
          <w:rPr>
            <w:rFonts w:ascii="Cambria Math" w:eastAsiaTheme="minorEastAsia" w:hAnsi="Cambria Math"/>
          </w:rPr>
          <m:t>]=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*</m:t>
        </m:r>
        <m:r>
          <m:rPr>
            <m:sty m:val="p"/>
          </m:rPr>
          <w:rPr>
            <w:rFonts w:ascii="Cambria Math" w:eastAsiaTheme="minorEastAsia" w:hAnsi="Cambria Math"/>
          </w:rPr>
          <m:t>Sin</m:t>
        </m:r>
        <m:r>
          <w:rPr>
            <w:rFonts w:ascii="Cambria Math" w:eastAsiaTheme="minorEastAsia" w:hAnsi="Cambria Math"/>
          </w:rPr>
          <m:t xml:space="preserve">[ω*t+ϕ], </m:t>
        </m:r>
      </m:oMath>
      <w:r w:rsidR="00E12C69">
        <w:rPr>
          <w:rFonts w:eastAsiaTheme="minorEastAsia"/>
        </w:rPr>
        <w:t>kde t je nezávisle proměnná v následujícím grafu.</w:t>
      </w:r>
      <w:r w:rsidR="00A86B65">
        <w:rPr>
          <w:rFonts w:eastAsiaTheme="minorEastAsia"/>
        </w:rPr>
        <w:t xml:space="preserve"> Příkaz </w:t>
      </w:r>
      <w:r w:rsidR="00A86B65" w:rsidRPr="00A86B65">
        <w:rPr>
          <w:rFonts w:eastAsiaTheme="minorEastAsia"/>
          <w:u w:val="single"/>
        </w:rPr>
        <w:t>Plot</w:t>
      </w:r>
      <w:r w:rsidR="00FF3CE8">
        <w:rPr>
          <w:rFonts w:eastAsiaTheme="minorEastAsia"/>
        </w:rPr>
        <w:t xml:space="preserve"> slouží ke kreslení grafu fun</w:t>
      </w:r>
      <w:r w:rsidR="00A86B65">
        <w:rPr>
          <w:rFonts w:eastAsiaTheme="minorEastAsia"/>
        </w:rPr>
        <w:t>kce. Prvním parametrem v hranaté závorce je název funkce, dalším parametrem je nezávisle proměnná a její dolní a horní mez pro zobrazení grafu, například:</w:t>
      </w:r>
      <m:oMath>
        <m:r>
          <m:rPr>
            <m:sty m:val="p"/>
          </m:rPr>
          <w:rPr>
            <w:rFonts w:ascii="Cambria Math" w:hAnsi="Cambria Math"/>
          </w:rPr>
          <m:t xml:space="preserve"> Plot</m:t>
        </m:r>
        <m:r>
          <w:rPr>
            <w:rFonts w:ascii="Cambria Math" w:hAnsi="Cambria Math"/>
          </w:rPr>
          <m:t>[{i[t],u[t],p[t]},{t,0,0.01}</m:t>
        </m:r>
      </m:oMath>
      <w:r w:rsidR="00A86B65">
        <w:rPr>
          <w:rFonts w:eastAsiaTheme="minorEastAsia"/>
        </w:rPr>
        <w:t>.</w:t>
      </w:r>
      <w:r w:rsidR="00D80431">
        <w:rPr>
          <w:rFonts w:eastAsiaTheme="minorEastAsia"/>
        </w:rPr>
        <w:t xml:space="preserve"> Příkaz </w:t>
      </w:r>
      <m:oMath>
        <m:r>
          <m:rPr>
            <m:sty m:val="p"/>
          </m:rPr>
          <w:rPr>
            <w:rFonts w:ascii="Cambria Math" w:hAnsi="Cambria Math"/>
            <w:u w:val="single"/>
          </w:rPr>
          <m:t>AxesLabel</m:t>
        </m:r>
      </m:oMath>
      <w:r w:rsidR="00D80431">
        <w:rPr>
          <w:rFonts w:eastAsiaTheme="minorEastAsia"/>
        </w:rPr>
        <w:t xml:space="preserve"> slouží k popisu os daného grafu, např. </w:t>
      </w:r>
      <m:oMath>
        <m:r>
          <m:rPr>
            <m:sty m:val="p"/>
          </m:rPr>
          <w:rPr>
            <w:rFonts w:ascii="Cambria Math" w:hAnsi="Cambria Math"/>
          </w:rPr>
          <m:t>AxesLabel</m:t>
        </m:r>
        <m:r>
          <w:rPr>
            <w:rFonts w:ascii="Cambria Math" w:hAnsi="Cambria Math"/>
          </w:rPr>
          <m:t>→{</m:t>
        </m:r>
        <m:r>
          <m:rPr>
            <m:sty m:val="p"/>
          </m:rPr>
          <w:rPr>
            <w:rFonts w:ascii="Cambria Math" w:hAnsi="Cambria Math"/>
          </w:rPr>
          <m:t>t[s</m:t>
        </m:r>
        <m:r>
          <w:rPr>
            <w:rFonts w:ascii="Cambria Math" w:hAnsi="Cambria Math"/>
          </w:rPr>
          <m:t>]}</m:t>
        </m:r>
      </m:oMath>
      <w:r w:rsidR="00D80431">
        <w:rPr>
          <w:rFonts w:eastAsiaTheme="minorEastAsia"/>
        </w:rPr>
        <w:t xml:space="preserve">. </w:t>
      </w:r>
      <w:r w:rsidR="003D4ABE">
        <w:rPr>
          <w:rFonts w:eastAsiaTheme="minorEastAsia"/>
        </w:rPr>
        <w:t xml:space="preserve">Příkaz </w:t>
      </w:r>
      <m:oMath>
        <m:r>
          <m:rPr>
            <m:sty m:val="p"/>
          </m:rPr>
          <w:rPr>
            <w:rFonts w:ascii="Cambria Math" w:eastAsiaTheme="minorEastAsia" w:hAnsi="Cambria Math"/>
          </w:rPr>
          <m:t>Ticks</m:t>
        </m:r>
      </m:oMath>
      <w:r w:rsidR="003D4ABE">
        <w:rPr>
          <w:rFonts w:eastAsiaTheme="minorEastAsia"/>
        </w:rPr>
        <w:t xml:space="preserve"> definuje, které hodnoty mají být zobrazeny na vodorovné ose.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Příkaz PlotLegends</m:t>
        </m:r>
        <m:r>
          <w:rPr>
            <w:rFonts w:ascii="Cambria Math" w:eastAsiaTheme="minorEastAsia" w:hAnsi="Cambria Math"/>
          </w:rPr>
          <m:t>→</m:t>
        </m:r>
        <m:r>
          <m:rPr>
            <m:nor/>
          </m:rPr>
          <w:rPr>
            <w:rFonts w:ascii="Cambria Math" w:eastAsiaTheme="minorEastAsia" w:hAnsi="Cambria Math"/>
          </w:rPr>
          <m:t>Expressions</m:t>
        </m:r>
        <m:r>
          <m:rPr>
            <m:sty m:val="p"/>
          </m:rPr>
          <w:rPr>
            <w:rFonts w:ascii="Cambria Math" w:eastAsiaTheme="minorEastAsia" w:hAnsi="Cambria Math"/>
          </w:rPr>
          <m:t>"</m:t>
        </m:r>
      </m:oMath>
      <w:r w:rsidR="003D4ABE">
        <w:rPr>
          <w:rFonts w:eastAsiaTheme="minorEastAsia"/>
        </w:rPr>
        <w:t xml:space="preserve">  vytvoří legendu pro více grafů.</w:t>
      </w:r>
    </w:p>
    <w:p w:rsidR="00C10C1A" w:rsidRPr="00EF7B67" w:rsidRDefault="00C10C1A" w:rsidP="00C10C1A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7B67">
        <w:rPr>
          <w:rFonts w:asciiTheme="majorHAnsi" w:hAnsiTheme="majorHAnsi"/>
          <w:b/>
          <w:color w:val="1F497D" w:themeColor="text2"/>
          <w:sz w:val="28"/>
          <w:szCs w:val="28"/>
        </w:rPr>
        <w:t>Shrnutí</w:t>
      </w:r>
    </w:p>
    <w:p w:rsidR="00923225" w:rsidRDefault="0006599A" w:rsidP="00DD5D98">
      <w:bookmarkStart w:id="0" w:name="_GoBack"/>
      <w:bookmarkEnd w:id="0"/>
      <w:r>
        <w:lastRenderedPageBreak/>
        <w:t>Použití tohoto programu v hodině splnilo svůj cíl. Hlavní význam je v tom, že žáci vidí průběh okamžitého výkonu, napětí a proudu. Mohou si tak ověřit teoretické poznatky o chování ideálních i skutečných pasivních součástek (rezistoru, cívky a kondenzátoru).</w:t>
      </w:r>
    </w:p>
    <w:sectPr w:rsidR="00923225" w:rsidSect="00732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E1" w:rsidRDefault="008F57E1" w:rsidP="00DD5D98">
      <w:pPr>
        <w:spacing w:after="0" w:line="240" w:lineRule="auto"/>
      </w:pPr>
      <w:r>
        <w:separator/>
      </w:r>
    </w:p>
  </w:endnote>
  <w:end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E1" w:rsidRDefault="008F57E1" w:rsidP="00DD5D98">
      <w:pPr>
        <w:spacing w:after="0" w:line="240" w:lineRule="auto"/>
      </w:pPr>
      <w:r>
        <w:separator/>
      </w:r>
    </w:p>
  </w:footnote>
  <w:foot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98"/>
    <w:rsid w:val="00014795"/>
    <w:rsid w:val="000539E1"/>
    <w:rsid w:val="0006599A"/>
    <w:rsid w:val="000B37B5"/>
    <w:rsid w:val="000E5134"/>
    <w:rsid w:val="001334C8"/>
    <w:rsid w:val="00193CFC"/>
    <w:rsid w:val="002A3EE1"/>
    <w:rsid w:val="0031071F"/>
    <w:rsid w:val="003D4ABE"/>
    <w:rsid w:val="003E71F2"/>
    <w:rsid w:val="003F3CEE"/>
    <w:rsid w:val="00405C0E"/>
    <w:rsid w:val="00460DD5"/>
    <w:rsid w:val="00463C86"/>
    <w:rsid w:val="004F5B0C"/>
    <w:rsid w:val="005670CB"/>
    <w:rsid w:val="005E3A75"/>
    <w:rsid w:val="00650990"/>
    <w:rsid w:val="0069498E"/>
    <w:rsid w:val="00732ECA"/>
    <w:rsid w:val="00733C37"/>
    <w:rsid w:val="00830EA8"/>
    <w:rsid w:val="00854438"/>
    <w:rsid w:val="008F57E1"/>
    <w:rsid w:val="00923225"/>
    <w:rsid w:val="009259BE"/>
    <w:rsid w:val="009E7799"/>
    <w:rsid w:val="00A572E5"/>
    <w:rsid w:val="00A6361E"/>
    <w:rsid w:val="00A86B65"/>
    <w:rsid w:val="00A96BA2"/>
    <w:rsid w:val="00AE0576"/>
    <w:rsid w:val="00B270D2"/>
    <w:rsid w:val="00B665E4"/>
    <w:rsid w:val="00BA3E92"/>
    <w:rsid w:val="00BE339B"/>
    <w:rsid w:val="00C0475F"/>
    <w:rsid w:val="00C10C1A"/>
    <w:rsid w:val="00D27AB6"/>
    <w:rsid w:val="00D80431"/>
    <w:rsid w:val="00DA63D9"/>
    <w:rsid w:val="00DD5D98"/>
    <w:rsid w:val="00DE66D8"/>
    <w:rsid w:val="00DF3E58"/>
    <w:rsid w:val="00E12C69"/>
    <w:rsid w:val="00E633EA"/>
    <w:rsid w:val="00EC35B1"/>
    <w:rsid w:val="00F3299C"/>
    <w:rsid w:val="00F5550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F39A-1F2C-4686-A9DB-1B7243B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E6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8FB4-A452-4D31-A8AE-FB16E7AA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7</cp:revision>
  <dcterms:created xsi:type="dcterms:W3CDTF">2014-11-22T20:53:00Z</dcterms:created>
  <dcterms:modified xsi:type="dcterms:W3CDTF">2015-01-17T21:06:00Z</dcterms:modified>
</cp:coreProperties>
</file>